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8C" w:rsidRDefault="000E328C" w:rsidP="00E945B7">
      <w:pPr>
        <w:pStyle w:val="Title"/>
      </w:pPr>
      <w:r>
        <w:t>Obecní úřad Lutín, okres Olomouc</w:t>
      </w:r>
    </w:p>
    <w:p w:rsidR="000E328C" w:rsidRDefault="000E328C" w:rsidP="00E945B7">
      <w:pPr>
        <w:jc w:val="center"/>
        <w:rPr>
          <w:b/>
          <w:sz w:val="32"/>
        </w:rPr>
      </w:pPr>
      <w:r>
        <w:rPr>
          <w:b/>
          <w:sz w:val="32"/>
        </w:rPr>
        <w:t>stavební úřad</w:t>
      </w:r>
    </w:p>
    <w:p w:rsidR="000E328C" w:rsidRDefault="000E328C" w:rsidP="00E945B7">
      <w:pPr>
        <w:pStyle w:val="Heading1"/>
        <w:pBdr>
          <w:bottom w:val="single" w:sz="6" w:space="1" w:color="auto"/>
        </w:pBdr>
      </w:pPr>
      <w:r>
        <w:t>Olomoucká 131, 783 49 Lutín, telefon 585944286, fax 585944286</w:t>
      </w:r>
    </w:p>
    <w:tbl>
      <w:tblPr>
        <w:tblW w:w="9438" w:type="dxa"/>
        <w:tblLayout w:type="fixed"/>
        <w:tblCellMar>
          <w:left w:w="70" w:type="dxa"/>
          <w:right w:w="70" w:type="dxa"/>
        </w:tblCellMar>
        <w:tblLook w:val="0000"/>
      </w:tblPr>
      <w:tblGrid>
        <w:gridCol w:w="1492"/>
        <w:gridCol w:w="3256"/>
        <w:gridCol w:w="257"/>
        <w:gridCol w:w="4008"/>
        <w:gridCol w:w="256"/>
        <w:gridCol w:w="169"/>
      </w:tblGrid>
      <w:tr w:rsidR="000E328C" w:rsidRPr="008C7EA1" w:rsidTr="00424BAC">
        <w:tc>
          <w:tcPr>
            <w:tcW w:w="9438" w:type="dxa"/>
            <w:gridSpan w:val="6"/>
            <w:tcBorders>
              <w:top w:val="single" w:sz="6" w:space="0" w:color="auto"/>
              <w:left w:val="nil"/>
              <w:bottom w:val="nil"/>
              <w:right w:val="nil"/>
            </w:tcBorders>
          </w:tcPr>
          <w:p w:rsidR="000E328C" w:rsidRPr="008C7EA1" w:rsidRDefault="000E328C" w:rsidP="00424BAC">
            <w:pPr>
              <w:jc w:val="center"/>
              <w:rPr>
                <w:sz w:val="16"/>
                <w:szCs w:val="16"/>
              </w:rPr>
            </w:pPr>
          </w:p>
        </w:tc>
      </w:tr>
      <w:tr w:rsidR="000E328C" w:rsidRPr="00F77829" w:rsidTr="00424BAC">
        <w:trPr>
          <w:gridAfter w:val="1"/>
          <w:wAfter w:w="169" w:type="dxa"/>
        </w:trPr>
        <w:tc>
          <w:tcPr>
            <w:tcW w:w="1492" w:type="dxa"/>
            <w:tcBorders>
              <w:top w:val="nil"/>
              <w:left w:val="nil"/>
              <w:bottom w:val="nil"/>
              <w:right w:val="nil"/>
            </w:tcBorders>
          </w:tcPr>
          <w:p w:rsidR="000E328C" w:rsidRPr="00F77829" w:rsidRDefault="000E328C" w:rsidP="00424BAC">
            <w:pPr>
              <w:spacing w:line="240" w:lineRule="atLeast"/>
              <w:rPr>
                <w:sz w:val="22"/>
                <w:szCs w:val="22"/>
              </w:rPr>
            </w:pPr>
            <w:r w:rsidRPr="00F77829">
              <w:rPr>
                <w:sz w:val="22"/>
                <w:szCs w:val="22"/>
              </w:rPr>
              <w:t>SPIS. ZN.:</w:t>
            </w:r>
          </w:p>
        </w:tc>
        <w:tc>
          <w:tcPr>
            <w:tcW w:w="3256" w:type="dxa"/>
            <w:tcBorders>
              <w:top w:val="nil"/>
              <w:left w:val="nil"/>
              <w:bottom w:val="nil"/>
            </w:tcBorders>
          </w:tcPr>
          <w:p w:rsidR="000E328C" w:rsidRPr="00F77829" w:rsidRDefault="000E328C" w:rsidP="00424BAC">
            <w:pPr>
              <w:spacing w:line="240" w:lineRule="atLeast"/>
              <w:ind w:left="68"/>
              <w:rPr>
                <w:sz w:val="22"/>
                <w:szCs w:val="22"/>
              </w:rPr>
            </w:pPr>
            <w:r w:rsidRPr="00F77829">
              <w:rPr>
                <w:sz w:val="22"/>
                <w:szCs w:val="22"/>
              </w:rPr>
              <w:t>SÚ/</w:t>
            </w:r>
            <w:r>
              <w:rPr>
                <w:sz w:val="22"/>
                <w:szCs w:val="22"/>
              </w:rPr>
              <w:t>725</w:t>
            </w:r>
            <w:r w:rsidRPr="00F77829">
              <w:rPr>
                <w:sz w:val="22"/>
                <w:szCs w:val="22"/>
              </w:rPr>
              <w:t>/201</w:t>
            </w:r>
            <w:r>
              <w:rPr>
                <w:sz w:val="22"/>
                <w:szCs w:val="22"/>
              </w:rPr>
              <w:t>2</w:t>
            </w:r>
          </w:p>
        </w:tc>
        <w:tc>
          <w:tcPr>
            <w:tcW w:w="257" w:type="dxa"/>
            <w:tcBorders>
              <w:bottom w:val="nil"/>
              <w:right w:val="nil"/>
            </w:tcBorders>
          </w:tcPr>
          <w:p w:rsidR="000E328C" w:rsidRPr="00F77829" w:rsidRDefault="000E328C" w:rsidP="00424BAC">
            <w:pPr>
              <w:spacing w:line="240" w:lineRule="atLeast"/>
              <w:rPr>
                <w:sz w:val="22"/>
                <w:szCs w:val="22"/>
              </w:rPr>
            </w:pPr>
          </w:p>
        </w:tc>
        <w:tc>
          <w:tcPr>
            <w:tcW w:w="4008" w:type="dxa"/>
            <w:tcBorders>
              <w:left w:val="nil"/>
              <w:bottom w:val="nil"/>
              <w:right w:val="nil"/>
            </w:tcBorders>
          </w:tcPr>
          <w:p w:rsidR="000E328C" w:rsidRPr="00F77829" w:rsidRDefault="000E328C" w:rsidP="00424BAC">
            <w:pPr>
              <w:spacing w:line="240" w:lineRule="atLeast"/>
              <w:rPr>
                <w:sz w:val="22"/>
                <w:szCs w:val="22"/>
              </w:rPr>
            </w:pPr>
          </w:p>
        </w:tc>
        <w:tc>
          <w:tcPr>
            <w:tcW w:w="256" w:type="dxa"/>
            <w:tcBorders>
              <w:left w:val="nil"/>
              <w:bottom w:val="nil"/>
            </w:tcBorders>
          </w:tcPr>
          <w:p w:rsidR="000E328C" w:rsidRPr="00F77829" w:rsidRDefault="000E328C" w:rsidP="00424BAC">
            <w:pPr>
              <w:spacing w:line="240" w:lineRule="atLeast"/>
              <w:rPr>
                <w:sz w:val="22"/>
                <w:szCs w:val="22"/>
              </w:rPr>
            </w:pPr>
          </w:p>
        </w:tc>
      </w:tr>
      <w:tr w:rsidR="000E328C" w:rsidRPr="004629E9" w:rsidTr="00424BAC">
        <w:trPr>
          <w:gridAfter w:val="1"/>
          <w:wAfter w:w="169" w:type="dxa"/>
          <w:cantSplit/>
        </w:trPr>
        <w:tc>
          <w:tcPr>
            <w:tcW w:w="1492" w:type="dxa"/>
            <w:tcBorders>
              <w:top w:val="nil"/>
              <w:left w:val="nil"/>
              <w:bottom w:val="nil"/>
              <w:right w:val="nil"/>
            </w:tcBorders>
          </w:tcPr>
          <w:p w:rsidR="000E328C" w:rsidRPr="004629E9" w:rsidRDefault="000E328C" w:rsidP="00424BAC">
            <w:pPr>
              <w:spacing w:line="240" w:lineRule="atLeast"/>
              <w:rPr>
                <w:sz w:val="22"/>
                <w:szCs w:val="22"/>
              </w:rPr>
            </w:pPr>
            <w:r w:rsidRPr="004629E9">
              <w:rPr>
                <w:sz w:val="22"/>
                <w:szCs w:val="22"/>
              </w:rPr>
              <w:t>Č.J.:</w:t>
            </w:r>
          </w:p>
        </w:tc>
        <w:tc>
          <w:tcPr>
            <w:tcW w:w="3256" w:type="dxa"/>
            <w:tcBorders>
              <w:top w:val="nil"/>
              <w:left w:val="nil"/>
              <w:bottom w:val="nil"/>
            </w:tcBorders>
          </w:tcPr>
          <w:p w:rsidR="000E328C" w:rsidRPr="004629E9" w:rsidRDefault="000E328C" w:rsidP="00424BAC">
            <w:pPr>
              <w:spacing w:line="240" w:lineRule="atLeast"/>
              <w:ind w:left="68"/>
              <w:rPr>
                <w:b/>
                <w:sz w:val="22"/>
                <w:szCs w:val="22"/>
              </w:rPr>
            </w:pPr>
            <w:r w:rsidRPr="004629E9">
              <w:rPr>
                <w:b/>
                <w:sz w:val="22"/>
                <w:szCs w:val="22"/>
              </w:rPr>
              <w:t>SÚ/</w:t>
            </w:r>
            <w:r>
              <w:rPr>
                <w:b/>
                <w:sz w:val="22"/>
                <w:szCs w:val="22"/>
              </w:rPr>
              <w:t>725</w:t>
            </w:r>
            <w:r w:rsidRPr="004629E9">
              <w:rPr>
                <w:b/>
                <w:sz w:val="22"/>
                <w:szCs w:val="22"/>
              </w:rPr>
              <w:t>/201</w:t>
            </w:r>
            <w:r>
              <w:rPr>
                <w:b/>
                <w:sz w:val="22"/>
                <w:szCs w:val="22"/>
              </w:rPr>
              <w:t>2</w:t>
            </w:r>
          </w:p>
        </w:tc>
        <w:tc>
          <w:tcPr>
            <w:tcW w:w="257" w:type="dxa"/>
            <w:vMerge w:val="restart"/>
            <w:tcBorders>
              <w:top w:val="nil"/>
              <w:right w:val="nil"/>
            </w:tcBorders>
          </w:tcPr>
          <w:p w:rsidR="000E328C" w:rsidRPr="004629E9" w:rsidRDefault="000E328C" w:rsidP="00424BAC">
            <w:pPr>
              <w:spacing w:line="240" w:lineRule="atLeast"/>
              <w:rPr>
                <w:sz w:val="22"/>
                <w:szCs w:val="22"/>
              </w:rPr>
            </w:pPr>
          </w:p>
        </w:tc>
        <w:tc>
          <w:tcPr>
            <w:tcW w:w="4008" w:type="dxa"/>
            <w:vMerge w:val="restart"/>
            <w:tcBorders>
              <w:top w:val="nil"/>
              <w:left w:val="nil"/>
              <w:right w:val="nil"/>
            </w:tcBorders>
          </w:tcPr>
          <w:p w:rsidR="000E328C" w:rsidRPr="004629E9" w:rsidRDefault="000E328C" w:rsidP="00424BAC">
            <w:pPr>
              <w:spacing w:line="240" w:lineRule="atLeast"/>
              <w:jc w:val="center"/>
              <w:rPr>
                <w:sz w:val="22"/>
                <w:szCs w:val="22"/>
              </w:rPr>
            </w:pPr>
          </w:p>
          <w:p w:rsidR="000E328C" w:rsidRPr="004629E9" w:rsidRDefault="000E328C" w:rsidP="00424BAC">
            <w:pPr>
              <w:spacing w:line="240" w:lineRule="atLeast"/>
              <w:jc w:val="center"/>
              <w:rPr>
                <w:sz w:val="22"/>
                <w:szCs w:val="22"/>
              </w:rPr>
            </w:pPr>
          </w:p>
          <w:p w:rsidR="000E328C" w:rsidRPr="004629E9" w:rsidRDefault="000E328C" w:rsidP="00424BAC">
            <w:pPr>
              <w:spacing w:line="240" w:lineRule="atLeast"/>
              <w:jc w:val="center"/>
              <w:rPr>
                <w:sz w:val="22"/>
                <w:szCs w:val="22"/>
              </w:rPr>
            </w:pPr>
          </w:p>
        </w:tc>
        <w:tc>
          <w:tcPr>
            <w:tcW w:w="256" w:type="dxa"/>
            <w:vMerge w:val="restart"/>
            <w:tcBorders>
              <w:top w:val="nil"/>
              <w:left w:val="nil"/>
            </w:tcBorders>
          </w:tcPr>
          <w:p w:rsidR="000E328C" w:rsidRPr="004629E9" w:rsidRDefault="000E328C" w:rsidP="00424BAC">
            <w:pPr>
              <w:spacing w:line="240" w:lineRule="atLeast"/>
              <w:rPr>
                <w:sz w:val="22"/>
                <w:szCs w:val="22"/>
              </w:rPr>
            </w:pPr>
          </w:p>
        </w:tc>
      </w:tr>
      <w:tr w:rsidR="000E328C" w:rsidRPr="008C7EA1" w:rsidTr="00424BAC">
        <w:trPr>
          <w:gridAfter w:val="1"/>
          <w:wAfter w:w="169" w:type="dxa"/>
          <w:cantSplit/>
          <w:trHeight w:val="526"/>
        </w:trPr>
        <w:tc>
          <w:tcPr>
            <w:tcW w:w="1492" w:type="dxa"/>
            <w:tcBorders>
              <w:top w:val="nil"/>
              <w:left w:val="nil"/>
              <w:right w:val="nil"/>
            </w:tcBorders>
          </w:tcPr>
          <w:p w:rsidR="000E328C" w:rsidRPr="008C7EA1" w:rsidRDefault="000E328C" w:rsidP="00424BAC">
            <w:pPr>
              <w:spacing w:line="240" w:lineRule="atLeast"/>
              <w:rPr>
                <w:sz w:val="18"/>
                <w:szCs w:val="18"/>
              </w:rPr>
            </w:pPr>
            <w:r>
              <w:rPr>
                <w:sz w:val="18"/>
                <w:szCs w:val="18"/>
              </w:rPr>
              <w:t>VYŘIZUJE:</w:t>
            </w:r>
            <w:r w:rsidRPr="008C7EA1">
              <w:rPr>
                <w:sz w:val="18"/>
                <w:szCs w:val="18"/>
              </w:rPr>
              <w:br/>
              <w:t>E-MAIL:</w:t>
            </w:r>
          </w:p>
        </w:tc>
        <w:tc>
          <w:tcPr>
            <w:tcW w:w="3256" w:type="dxa"/>
            <w:tcBorders>
              <w:top w:val="nil"/>
              <w:left w:val="nil"/>
              <w:bottom w:val="nil"/>
            </w:tcBorders>
          </w:tcPr>
          <w:p w:rsidR="000E328C" w:rsidRDefault="000E328C" w:rsidP="00424BAC">
            <w:pPr>
              <w:pStyle w:val="Heading2"/>
              <w:rPr>
                <w:b w:val="0"/>
                <w:sz w:val="20"/>
              </w:rPr>
            </w:pPr>
            <w:r>
              <w:rPr>
                <w:b w:val="0"/>
                <w:sz w:val="20"/>
              </w:rPr>
              <w:t xml:space="preserve"> Ing. Drahoslava  Mačáková</w:t>
            </w:r>
          </w:p>
          <w:p w:rsidR="000E328C" w:rsidRDefault="000E328C" w:rsidP="00424BAC">
            <w:pPr>
              <w:jc w:val="both"/>
            </w:pPr>
            <w:r>
              <w:t xml:space="preserve"> dmacakova.ou@lutin.cz </w:t>
            </w:r>
          </w:p>
          <w:p w:rsidR="000E328C" w:rsidRPr="008C7EA1" w:rsidRDefault="000E328C" w:rsidP="00424BAC">
            <w:pPr>
              <w:spacing w:line="240" w:lineRule="atLeast"/>
              <w:ind w:left="68"/>
            </w:pPr>
          </w:p>
        </w:tc>
        <w:tc>
          <w:tcPr>
            <w:tcW w:w="257" w:type="dxa"/>
            <w:vMerge/>
            <w:tcBorders>
              <w:bottom w:val="nil"/>
              <w:right w:val="nil"/>
            </w:tcBorders>
          </w:tcPr>
          <w:p w:rsidR="000E328C" w:rsidRPr="008C7EA1" w:rsidRDefault="000E328C" w:rsidP="00424BAC">
            <w:pPr>
              <w:spacing w:line="240" w:lineRule="atLeast"/>
            </w:pPr>
          </w:p>
        </w:tc>
        <w:tc>
          <w:tcPr>
            <w:tcW w:w="4008" w:type="dxa"/>
            <w:vMerge/>
            <w:tcBorders>
              <w:left w:val="nil"/>
              <w:bottom w:val="nil"/>
              <w:right w:val="nil"/>
            </w:tcBorders>
          </w:tcPr>
          <w:p w:rsidR="000E328C" w:rsidRPr="008C7EA1" w:rsidRDefault="000E328C" w:rsidP="00424BAC">
            <w:pPr>
              <w:spacing w:line="240" w:lineRule="atLeast"/>
              <w:jc w:val="center"/>
            </w:pPr>
          </w:p>
        </w:tc>
        <w:tc>
          <w:tcPr>
            <w:tcW w:w="256" w:type="dxa"/>
            <w:vMerge/>
            <w:tcBorders>
              <w:left w:val="nil"/>
            </w:tcBorders>
          </w:tcPr>
          <w:p w:rsidR="000E328C" w:rsidRPr="008C7EA1" w:rsidRDefault="000E328C" w:rsidP="00424BAC">
            <w:pPr>
              <w:spacing w:line="240" w:lineRule="atLeast"/>
            </w:pPr>
          </w:p>
        </w:tc>
      </w:tr>
      <w:tr w:rsidR="000E328C" w:rsidRPr="00434193" w:rsidTr="00424BAC">
        <w:trPr>
          <w:gridAfter w:val="1"/>
          <w:wAfter w:w="169" w:type="dxa"/>
          <w:trHeight w:val="71"/>
        </w:trPr>
        <w:tc>
          <w:tcPr>
            <w:tcW w:w="1492" w:type="dxa"/>
            <w:tcBorders>
              <w:top w:val="nil"/>
              <w:left w:val="nil"/>
              <w:bottom w:val="nil"/>
              <w:right w:val="nil"/>
            </w:tcBorders>
          </w:tcPr>
          <w:p w:rsidR="000E328C" w:rsidRPr="00434193" w:rsidRDefault="000E328C" w:rsidP="00424BAC">
            <w:pPr>
              <w:spacing w:line="240" w:lineRule="atLeast"/>
              <w:rPr>
                <w:sz w:val="22"/>
                <w:szCs w:val="22"/>
              </w:rPr>
            </w:pPr>
            <w:r w:rsidRPr="00434193">
              <w:rPr>
                <w:sz w:val="22"/>
                <w:szCs w:val="22"/>
              </w:rPr>
              <w:t>DATUM:</w:t>
            </w:r>
          </w:p>
        </w:tc>
        <w:tc>
          <w:tcPr>
            <w:tcW w:w="3256" w:type="dxa"/>
            <w:tcBorders>
              <w:top w:val="nil"/>
              <w:left w:val="nil"/>
              <w:bottom w:val="nil"/>
            </w:tcBorders>
          </w:tcPr>
          <w:p w:rsidR="000E328C" w:rsidRPr="00434193" w:rsidRDefault="000E328C" w:rsidP="00424BAC">
            <w:pPr>
              <w:spacing w:line="240" w:lineRule="atLeast"/>
              <w:ind w:left="68"/>
              <w:rPr>
                <w:b/>
                <w:sz w:val="22"/>
                <w:szCs w:val="22"/>
              </w:rPr>
            </w:pPr>
            <w:r>
              <w:rPr>
                <w:b/>
                <w:sz w:val="22"/>
                <w:szCs w:val="22"/>
              </w:rPr>
              <w:t xml:space="preserve">24.4.2012  </w:t>
            </w:r>
            <w:r w:rsidRPr="00434193">
              <w:rPr>
                <w:b/>
                <w:sz w:val="22"/>
                <w:szCs w:val="22"/>
              </w:rPr>
              <w:t xml:space="preserve">    </w:t>
            </w:r>
          </w:p>
        </w:tc>
        <w:tc>
          <w:tcPr>
            <w:tcW w:w="257" w:type="dxa"/>
            <w:tcBorders>
              <w:right w:val="nil"/>
            </w:tcBorders>
          </w:tcPr>
          <w:p w:rsidR="000E328C" w:rsidRPr="00434193" w:rsidRDefault="000E328C" w:rsidP="00424BAC">
            <w:pPr>
              <w:spacing w:line="240" w:lineRule="atLeast"/>
              <w:rPr>
                <w:sz w:val="22"/>
                <w:szCs w:val="22"/>
              </w:rPr>
            </w:pPr>
          </w:p>
        </w:tc>
        <w:tc>
          <w:tcPr>
            <w:tcW w:w="4008" w:type="dxa"/>
            <w:tcBorders>
              <w:top w:val="nil"/>
              <w:left w:val="nil"/>
              <w:right w:val="nil"/>
            </w:tcBorders>
          </w:tcPr>
          <w:p w:rsidR="000E328C" w:rsidRPr="00434193" w:rsidRDefault="000E328C" w:rsidP="00424BAC">
            <w:pPr>
              <w:spacing w:line="240" w:lineRule="atLeast"/>
              <w:rPr>
                <w:sz w:val="22"/>
                <w:szCs w:val="22"/>
              </w:rPr>
            </w:pPr>
          </w:p>
        </w:tc>
        <w:tc>
          <w:tcPr>
            <w:tcW w:w="256" w:type="dxa"/>
            <w:tcBorders>
              <w:left w:val="nil"/>
            </w:tcBorders>
          </w:tcPr>
          <w:p w:rsidR="000E328C" w:rsidRPr="00434193" w:rsidRDefault="000E328C" w:rsidP="00424BAC">
            <w:pPr>
              <w:spacing w:line="240" w:lineRule="atLeast"/>
              <w:rPr>
                <w:sz w:val="22"/>
                <w:szCs w:val="22"/>
              </w:rPr>
            </w:pPr>
          </w:p>
        </w:tc>
      </w:tr>
    </w:tbl>
    <w:p w:rsidR="000E328C" w:rsidRPr="008C7EA1" w:rsidRDefault="000E328C" w:rsidP="00E945B7">
      <w:pPr>
        <w:rPr>
          <w:sz w:val="4"/>
          <w:szCs w:val="4"/>
        </w:rPr>
      </w:pPr>
    </w:p>
    <w:p w:rsidR="000E328C" w:rsidRDefault="000E328C" w:rsidP="00E945B7">
      <w:pPr>
        <w:jc w:val="center"/>
        <w:rPr>
          <w:sz w:val="24"/>
          <w:szCs w:val="24"/>
        </w:rPr>
      </w:pPr>
    </w:p>
    <w:p w:rsidR="000E328C" w:rsidRPr="005D1937" w:rsidRDefault="000E328C" w:rsidP="00E945B7">
      <w:pPr>
        <w:jc w:val="center"/>
        <w:rPr>
          <w:sz w:val="24"/>
          <w:szCs w:val="24"/>
        </w:rPr>
      </w:pPr>
    </w:p>
    <w:p w:rsidR="000E328C" w:rsidRDefault="000E328C" w:rsidP="00E945B7">
      <w:pPr>
        <w:pStyle w:val="Heading1"/>
        <w:rPr>
          <w:b/>
          <w:szCs w:val="24"/>
        </w:rPr>
      </w:pPr>
      <w:r>
        <w:rPr>
          <w:b/>
          <w:szCs w:val="24"/>
        </w:rPr>
        <w:t>NÁVRH VÝROKU ROZHODNUTÍ VE ZJEDNODUŠENÉM ÚZEMNÍM ŘÍZENÍ</w:t>
      </w:r>
    </w:p>
    <w:p w:rsidR="000E328C" w:rsidRPr="00050FA2" w:rsidRDefault="000E328C" w:rsidP="00E945B7"/>
    <w:p w:rsidR="000E328C" w:rsidRPr="00050FA2" w:rsidRDefault="000E328C" w:rsidP="00E945B7">
      <w:pPr>
        <w:pStyle w:val="Heading1"/>
        <w:rPr>
          <w:b/>
          <w:sz w:val="28"/>
          <w:szCs w:val="28"/>
        </w:rPr>
      </w:pPr>
      <w:r w:rsidRPr="00050FA2">
        <w:rPr>
          <w:b/>
          <w:sz w:val="28"/>
          <w:szCs w:val="28"/>
        </w:rPr>
        <w:t>ÚZEMNÍ ROZHODNUTÍ</w:t>
      </w:r>
    </w:p>
    <w:p w:rsidR="000E328C" w:rsidRPr="0038374C" w:rsidRDefault="000E328C" w:rsidP="00E945B7">
      <w:pPr>
        <w:spacing w:before="120"/>
        <w:jc w:val="center"/>
        <w:rPr>
          <w:b/>
          <w:sz w:val="24"/>
          <w:szCs w:val="24"/>
        </w:rPr>
      </w:pPr>
      <w:r>
        <w:rPr>
          <w:b/>
          <w:sz w:val="24"/>
          <w:szCs w:val="24"/>
        </w:rPr>
        <w:t xml:space="preserve"> veřejnou vyhláškou</w:t>
      </w:r>
    </w:p>
    <w:p w:rsidR="000E328C" w:rsidRPr="005D1937" w:rsidRDefault="000E328C" w:rsidP="00E945B7">
      <w:pPr>
        <w:spacing w:before="120"/>
        <w:rPr>
          <w:b/>
        </w:rPr>
      </w:pPr>
      <w:r>
        <w:rPr>
          <w:b/>
        </w:rPr>
        <w:t xml:space="preserve"> </w:t>
      </w:r>
    </w:p>
    <w:p w:rsidR="000E328C" w:rsidRPr="00E41F4C" w:rsidRDefault="000E328C" w:rsidP="00E945B7">
      <w:pPr>
        <w:spacing w:before="120"/>
        <w:ind w:firstLine="709"/>
        <w:jc w:val="both"/>
        <w:rPr>
          <w:sz w:val="22"/>
          <w:szCs w:val="22"/>
        </w:rPr>
      </w:pPr>
      <w:r w:rsidRPr="004E29AF">
        <w:rPr>
          <w:sz w:val="22"/>
          <w:szCs w:val="22"/>
        </w:rPr>
        <w:t>Žadatel</w:t>
      </w:r>
      <w:r>
        <w:rPr>
          <w:sz w:val="22"/>
          <w:szCs w:val="22"/>
        </w:rPr>
        <w:t xml:space="preserve">é </w:t>
      </w:r>
      <w:r>
        <w:rPr>
          <w:b/>
          <w:sz w:val="22"/>
          <w:szCs w:val="22"/>
        </w:rPr>
        <w:t xml:space="preserve">  Josef Koupil, nar. 19.5.1953 a Ludmila Koupilová oba bytem Vilémov 150,   </w:t>
      </w:r>
      <w:r w:rsidRPr="004E29AF">
        <w:rPr>
          <w:sz w:val="22"/>
          <w:szCs w:val="22"/>
        </w:rPr>
        <w:t>podal</w:t>
      </w:r>
      <w:r>
        <w:rPr>
          <w:sz w:val="22"/>
          <w:szCs w:val="22"/>
        </w:rPr>
        <w:t>i</w:t>
      </w:r>
      <w:r w:rsidRPr="004E29AF">
        <w:rPr>
          <w:sz w:val="22"/>
          <w:szCs w:val="22"/>
        </w:rPr>
        <w:t xml:space="preserve"> dne </w:t>
      </w:r>
      <w:r w:rsidRPr="004E29AF">
        <w:rPr>
          <w:b/>
          <w:sz w:val="22"/>
          <w:szCs w:val="22"/>
        </w:rPr>
        <w:t xml:space="preserve"> </w:t>
      </w:r>
      <w:r>
        <w:rPr>
          <w:b/>
          <w:sz w:val="22"/>
          <w:szCs w:val="22"/>
        </w:rPr>
        <w:t xml:space="preserve"> 20.3.2012  </w:t>
      </w:r>
      <w:r w:rsidRPr="004E29AF">
        <w:rPr>
          <w:sz w:val="22"/>
          <w:szCs w:val="22"/>
        </w:rPr>
        <w:t xml:space="preserve">  žádost na vydání rozhodnutí o umístění stavby</w:t>
      </w:r>
      <w:r w:rsidRPr="004E29AF">
        <w:rPr>
          <w:b/>
          <w:sz w:val="22"/>
          <w:szCs w:val="22"/>
        </w:rPr>
        <w:t xml:space="preserve"> </w:t>
      </w:r>
      <w:r w:rsidRPr="00E41F4C">
        <w:rPr>
          <w:sz w:val="22"/>
          <w:szCs w:val="22"/>
        </w:rPr>
        <w:t>ve zjednodušeném územním řízení</w:t>
      </w:r>
      <w:r>
        <w:rPr>
          <w:sz w:val="22"/>
          <w:szCs w:val="22"/>
        </w:rPr>
        <w:t xml:space="preserve"> pro </w:t>
      </w:r>
    </w:p>
    <w:p w:rsidR="000E328C" w:rsidRDefault="000E328C" w:rsidP="00E945B7">
      <w:pPr>
        <w:pStyle w:val="BodyText3"/>
        <w:rPr>
          <w:b/>
          <w:sz w:val="22"/>
          <w:szCs w:val="22"/>
        </w:rPr>
      </w:pPr>
    </w:p>
    <w:p w:rsidR="000E328C" w:rsidRPr="00E41F4C" w:rsidRDefault="000E328C" w:rsidP="00E945B7">
      <w:pPr>
        <w:pStyle w:val="BodyText3"/>
        <w:rPr>
          <w:b/>
          <w:sz w:val="22"/>
          <w:szCs w:val="22"/>
        </w:rPr>
      </w:pPr>
      <w:r>
        <w:rPr>
          <w:b/>
          <w:sz w:val="22"/>
          <w:szCs w:val="22"/>
        </w:rPr>
        <w:t xml:space="preserve">kopanou studnu  + přívodu vody   </w:t>
      </w:r>
      <w:r>
        <w:rPr>
          <w:sz w:val="22"/>
          <w:szCs w:val="22"/>
        </w:rPr>
        <w:t xml:space="preserve">na pozemku parc.č. </w:t>
      </w:r>
      <w:r>
        <w:rPr>
          <w:b/>
          <w:sz w:val="22"/>
          <w:szCs w:val="22"/>
        </w:rPr>
        <w:t xml:space="preserve">  252/2  </w:t>
      </w:r>
      <w:r>
        <w:rPr>
          <w:sz w:val="22"/>
          <w:szCs w:val="22"/>
        </w:rPr>
        <w:t xml:space="preserve">v k.ú. </w:t>
      </w:r>
      <w:r>
        <w:rPr>
          <w:b/>
          <w:sz w:val="22"/>
          <w:szCs w:val="22"/>
        </w:rPr>
        <w:t>Těšetice u Olomouce</w:t>
      </w:r>
    </w:p>
    <w:p w:rsidR="000E328C" w:rsidRPr="004E29AF" w:rsidRDefault="000E328C" w:rsidP="00E945B7">
      <w:pPr>
        <w:spacing w:before="120"/>
        <w:ind w:firstLine="720"/>
        <w:jc w:val="both"/>
        <w:rPr>
          <w:sz w:val="22"/>
          <w:szCs w:val="22"/>
        </w:rPr>
      </w:pPr>
      <w:r w:rsidRPr="00EF07E0">
        <w:rPr>
          <w:sz w:val="22"/>
          <w:szCs w:val="22"/>
        </w:rPr>
        <w:t>Dn</w:t>
      </w:r>
      <w:r w:rsidRPr="004E29AF">
        <w:rPr>
          <w:sz w:val="22"/>
          <w:szCs w:val="22"/>
        </w:rPr>
        <w:t>em podání žádosti bylo zahájeno zjednodušené územní řízení.</w:t>
      </w:r>
    </w:p>
    <w:p w:rsidR="000E328C" w:rsidRPr="00EF07E0" w:rsidRDefault="000E328C" w:rsidP="00E945B7">
      <w:pPr>
        <w:spacing w:before="120"/>
        <w:jc w:val="both"/>
        <w:rPr>
          <w:b/>
          <w:sz w:val="22"/>
          <w:szCs w:val="22"/>
        </w:rPr>
      </w:pPr>
      <w:r w:rsidRPr="00EF07E0">
        <w:rPr>
          <w:b/>
          <w:sz w:val="22"/>
          <w:szCs w:val="22"/>
        </w:rPr>
        <w:t>Popis předmětu žádosti :</w:t>
      </w:r>
    </w:p>
    <w:p w:rsidR="000E328C" w:rsidRDefault="000E328C" w:rsidP="00E945B7">
      <w:pPr>
        <w:pStyle w:val="BodyText3"/>
        <w:rPr>
          <w:b/>
          <w:i/>
          <w:sz w:val="22"/>
          <w:szCs w:val="22"/>
        </w:rPr>
      </w:pPr>
    </w:p>
    <w:p w:rsidR="000E328C" w:rsidRPr="00611644" w:rsidRDefault="000E328C" w:rsidP="00E945B7">
      <w:pPr>
        <w:pStyle w:val="BodyText3"/>
        <w:rPr>
          <w:b/>
          <w:i/>
          <w:sz w:val="22"/>
          <w:szCs w:val="22"/>
        </w:rPr>
      </w:pPr>
      <w:r>
        <w:rPr>
          <w:b/>
          <w:i/>
          <w:sz w:val="22"/>
          <w:szCs w:val="22"/>
        </w:rPr>
        <w:t xml:space="preserve">Jedná se  osazení    kopané studny  o Ø  1000 mm ,  hloubky 8,0 m, za účelem   zřízení zdroje   užitkové vody pro  zahradu a budoucí rodinný dům </w:t>
      </w:r>
      <w:r w:rsidRPr="004532C5">
        <w:rPr>
          <w:b/>
          <w:i/>
          <w:sz w:val="22"/>
          <w:szCs w:val="22"/>
        </w:rPr>
        <w:t xml:space="preserve"> </w:t>
      </w:r>
      <w:r>
        <w:rPr>
          <w:b/>
          <w:i/>
          <w:sz w:val="22"/>
          <w:szCs w:val="22"/>
        </w:rPr>
        <w:t xml:space="preserve">na pozemku  parc.č.  252/2  v k.ú.  Těšetice u Olomouce. Bude osazena ve vzdálenosti  14 m  (osa studny) od hranice s parc.č.   252/18 ve vzdálenosti  6 m (osa studny) od hranice s  parc.č.  408/2  v k.ú.  Těšetice u Olomouce. Bude provedena z betonových skruží  TBH 1000, plášť studny bude vyveden </w:t>
      </w:r>
      <w:smartTag w:uri="urn:schemas-microsoft-com:office:smarttags" w:element="metricconverter">
        <w:smartTagPr>
          <w:attr w:name="ProductID" w:val="0,5 m"/>
        </w:smartTagPr>
        <w:r>
          <w:rPr>
            <w:b/>
            <w:i/>
            <w:sz w:val="22"/>
            <w:szCs w:val="22"/>
          </w:rPr>
          <w:t>0,5 m</w:t>
        </w:r>
      </w:smartTag>
      <w:r>
        <w:rPr>
          <w:b/>
          <w:i/>
          <w:sz w:val="22"/>
          <w:szCs w:val="22"/>
        </w:rPr>
        <w:t xml:space="preserve"> nad okolní terén.   Přívodní potrubí bude v délce 19 m z PP, DN 1“ na parc.č. 252/2. </w:t>
      </w:r>
    </w:p>
    <w:p w:rsidR="000E328C" w:rsidRPr="00611644" w:rsidRDefault="000E328C" w:rsidP="00E945B7">
      <w:pPr>
        <w:pStyle w:val="BodyText3"/>
        <w:rPr>
          <w:b/>
          <w:i/>
          <w:sz w:val="22"/>
          <w:szCs w:val="22"/>
        </w:rPr>
      </w:pPr>
    </w:p>
    <w:p w:rsidR="000E328C" w:rsidRDefault="000E328C" w:rsidP="00E945B7">
      <w:pPr>
        <w:spacing w:before="120"/>
        <w:jc w:val="both"/>
      </w:pPr>
      <w:r>
        <w:t xml:space="preserve"> </w:t>
      </w:r>
    </w:p>
    <w:p w:rsidR="000E328C" w:rsidRDefault="000E328C" w:rsidP="00E945B7">
      <w:pPr>
        <w:spacing w:before="120"/>
        <w:ind w:firstLine="709"/>
        <w:jc w:val="both"/>
        <w:rPr>
          <w:sz w:val="22"/>
          <w:szCs w:val="22"/>
        </w:rPr>
      </w:pPr>
      <w:r w:rsidRPr="004E29AF">
        <w:rPr>
          <w:sz w:val="22"/>
          <w:szCs w:val="22"/>
        </w:rPr>
        <w:t xml:space="preserve">Obecní úřad Lutín </w:t>
      </w:r>
      <w:r>
        <w:rPr>
          <w:sz w:val="22"/>
          <w:szCs w:val="22"/>
        </w:rPr>
        <w:t>s</w:t>
      </w:r>
      <w:r w:rsidRPr="004E29AF">
        <w:rPr>
          <w:sz w:val="22"/>
          <w:szCs w:val="22"/>
        </w:rPr>
        <w:t xml:space="preserve">tavební úřad, jako stavební úřad příslušný podle § 13 odst. 1 písm. g) a  § 84 zákona č. 183/2006 Sb., o územním plánování a stavebním řádu   ve znění </w:t>
      </w:r>
      <w:r>
        <w:rPr>
          <w:sz w:val="22"/>
          <w:szCs w:val="22"/>
        </w:rPr>
        <w:t xml:space="preserve"> pozdějších předpisů</w:t>
      </w:r>
      <w:r w:rsidRPr="004E29AF">
        <w:rPr>
          <w:sz w:val="22"/>
          <w:szCs w:val="22"/>
        </w:rPr>
        <w:t xml:space="preserve"> (dále jen "stavební zákon"),  </w:t>
      </w:r>
      <w:r>
        <w:rPr>
          <w:sz w:val="22"/>
          <w:szCs w:val="22"/>
        </w:rPr>
        <w:t xml:space="preserve"> </w:t>
      </w:r>
      <w:r w:rsidRPr="004E29AF">
        <w:rPr>
          <w:sz w:val="22"/>
          <w:szCs w:val="22"/>
        </w:rPr>
        <w:t xml:space="preserve">zveřejňuje podle § 95 odst. 2 stavebního zákona  </w:t>
      </w:r>
      <w:r w:rsidRPr="00A1159F">
        <w:rPr>
          <w:sz w:val="22"/>
          <w:szCs w:val="22"/>
        </w:rPr>
        <w:t>návrh výroku územního rozhodnutí</w:t>
      </w:r>
      <w:r>
        <w:rPr>
          <w:sz w:val="22"/>
          <w:szCs w:val="22"/>
        </w:rPr>
        <w:t xml:space="preserve"> a současně podle § 14 vyhlášky č. 503/2006 Sb., o podrobnější úpravě územního řízení, veřejnoprávní smlouvy a územního opatření upozorňuje, že proti němu mohou dotčené orgány podat výhrady, účastníci námitky a veřejnost připomínky, které se týkají ohrožení ochrany veřejného zájmu, v souladu s § 95 odst. 4 stavebního zákona do </w:t>
      </w:r>
    </w:p>
    <w:p w:rsidR="000E328C" w:rsidRDefault="000E328C" w:rsidP="00E945B7">
      <w:pPr>
        <w:spacing w:before="120"/>
        <w:jc w:val="center"/>
        <w:rPr>
          <w:b/>
          <w:sz w:val="22"/>
          <w:szCs w:val="22"/>
        </w:rPr>
      </w:pPr>
    </w:p>
    <w:p w:rsidR="000E328C" w:rsidRDefault="000E328C" w:rsidP="00E945B7">
      <w:pPr>
        <w:spacing w:before="120"/>
        <w:jc w:val="center"/>
        <w:rPr>
          <w:b/>
          <w:sz w:val="22"/>
          <w:szCs w:val="22"/>
        </w:rPr>
      </w:pPr>
      <w:r>
        <w:rPr>
          <w:b/>
          <w:sz w:val="22"/>
          <w:szCs w:val="22"/>
        </w:rPr>
        <w:t>15 dnů ode dne zveřejnění návrhu.</w:t>
      </w:r>
    </w:p>
    <w:p w:rsidR="000E328C" w:rsidRPr="00A1159F" w:rsidRDefault="000E328C" w:rsidP="00E945B7">
      <w:pPr>
        <w:spacing w:before="120"/>
        <w:jc w:val="both"/>
        <w:rPr>
          <w:sz w:val="22"/>
          <w:szCs w:val="22"/>
        </w:rPr>
      </w:pPr>
    </w:p>
    <w:p w:rsidR="000E328C" w:rsidRPr="00A1159F" w:rsidRDefault="000E328C" w:rsidP="00E945B7">
      <w:pPr>
        <w:spacing w:before="120"/>
        <w:jc w:val="both"/>
        <w:rPr>
          <w:sz w:val="22"/>
          <w:szCs w:val="22"/>
        </w:rPr>
      </w:pPr>
      <w:r w:rsidRPr="00A1159F">
        <w:rPr>
          <w:sz w:val="22"/>
          <w:szCs w:val="22"/>
        </w:rPr>
        <w:t xml:space="preserve">K později podaným výhradám, námitkám a připomínkám nebude přihlédnuto. </w:t>
      </w:r>
      <w:r>
        <w:rPr>
          <w:sz w:val="22"/>
          <w:szCs w:val="22"/>
        </w:rPr>
        <w:t>Účastníci řízení mohou nahlížet do podkladů rozhodnutí (kancelář stavebního úřadu, Lutín, Olomoucká 131, úřední dny Po a St 8 – 17 hod.)</w:t>
      </w:r>
    </w:p>
    <w:p w:rsidR="000E328C" w:rsidRDefault="000E328C" w:rsidP="00E945B7">
      <w:pPr>
        <w:spacing w:before="120"/>
        <w:ind w:firstLine="709"/>
        <w:jc w:val="both"/>
        <w:rPr>
          <w:b/>
          <w:sz w:val="22"/>
          <w:szCs w:val="22"/>
        </w:rPr>
      </w:pPr>
    </w:p>
    <w:p w:rsidR="000E328C" w:rsidRPr="002069EB" w:rsidRDefault="000E328C" w:rsidP="00E945B7">
      <w:pPr>
        <w:spacing w:before="120"/>
        <w:ind w:firstLine="709"/>
        <w:jc w:val="both"/>
        <w:rPr>
          <w:sz w:val="22"/>
          <w:szCs w:val="22"/>
        </w:rPr>
      </w:pPr>
      <w:r w:rsidRPr="002069EB">
        <w:rPr>
          <w:sz w:val="22"/>
          <w:szCs w:val="22"/>
        </w:rPr>
        <w:t xml:space="preserve">Stavební úřad Obecního úřadu v Lutíně vydává  v souladu s ustanoveními  §§ 79, </w:t>
      </w:r>
      <w:smartTag w:uri="urn:schemas-microsoft-com:office:smarttags" w:element="metricconverter">
        <w:smartTagPr>
          <w:attr w:name="ProductID" w:val="92 a"/>
        </w:smartTagPr>
        <w:r w:rsidRPr="002069EB">
          <w:rPr>
            <w:sz w:val="22"/>
            <w:szCs w:val="22"/>
          </w:rPr>
          <w:t>92 a</w:t>
        </w:r>
      </w:smartTag>
      <w:r w:rsidRPr="002069EB">
        <w:rPr>
          <w:sz w:val="22"/>
          <w:szCs w:val="22"/>
        </w:rPr>
        <w:t xml:space="preserve"> 95 stavebního zákona a § 9 vyhlášky č. 503/2006 Sb., o podrobnější úpravě územního řízení, veřejnoprávní smlouvy a územního opatření</w:t>
      </w:r>
    </w:p>
    <w:p w:rsidR="000E328C" w:rsidRPr="001C1BCD" w:rsidRDefault="000E328C" w:rsidP="00E945B7">
      <w:pPr>
        <w:spacing w:before="120"/>
        <w:jc w:val="both"/>
        <w:rPr>
          <w:b/>
          <w:bCs/>
        </w:rPr>
      </w:pPr>
      <w:r>
        <w:rPr>
          <w:b/>
          <w:bCs/>
        </w:rPr>
        <w:t xml:space="preserve"> </w:t>
      </w:r>
    </w:p>
    <w:p w:rsidR="000E328C" w:rsidRPr="001C1BCD" w:rsidRDefault="000E328C" w:rsidP="00E945B7">
      <w:pPr>
        <w:spacing w:before="120"/>
        <w:jc w:val="center"/>
        <w:rPr>
          <w:b/>
          <w:bCs/>
          <w:sz w:val="24"/>
          <w:szCs w:val="24"/>
        </w:rPr>
      </w:pPr>
      <w:r w:rsidRPr="001C1BCD">
        <w:rPr>
          <w:b/>
          <w:bCs/>
          <w:sz w:val="24"/>
          <w:szCs w:val="24"/>
        </w:rPr>
        <w:t>r o z h o d n u t í   o   u m í s t ě n í   s t a v b y</w:t>
      </w:r>
    </w:p>
    <w:p w:rsidR="000E328C" w:rsidRPr="001C1BCD" w:rsidRDefault="000E328C" w:rsidP="00E945B7">
      <w:pPr>
        <w:spacing w:before="120"/>
        <w:jc w:val="center"/>
        <w:rPr>
          <w:b/>
          <w:bCs/>
        </w:rPr>
      </w:pPr>
    </w:p>
    <w:p w:rsidR="000E328C" w:rsidRPr="00B53FBB" w:rsidRDefault="000E328C" w:rsidP="00E945B7">
      <w:pPr>
        <w:pStyle w:val="BodyText3"/>
        <w:rPr>
          <w:b/>
          <w:sz w:val="22"/>
          <w:szCs w:val="22"/>
        </w:rPr>
      </w:pPr>
      <w:r>
        <w:rPr>
          <w:b/>
          <w:sz w:val="22"/>
          <w:szCs w:val="22"/>
        </w:rPr>
        <w:t xml:space="preserve">kopané studny    </w:t>
      </w:r>
      <w:r>
        <w:rPr>
          <w:sz w:val="22"/>
          <w:szCs w:val="22"/>
        </w:rPr>
        <w:t xml:space="preserve">na pozemku parc.č </w:t>
      </w:r>
      <w:r>
        <w:rPr>
          <w:b/>
          <w:sz w:val="22"/>
          <w:szCs w:val="22"/>
        </w:rPr>
        <w:t xml:space="preserve">   252/2 </w:t>
      </w:r>
      <w:r>
        <w:rPr>
          <w:sz w:val="22"/>
          <w:szCs w:val="22"/>
        </w:rPr>
        <w:t xml:space="preserve">v k.ú. </w:t>
      </w:r>
      <w:r>
        <w:rPr>
          <w:b/>
          <w:sz w:val="22"/>
          <w:szCs w:val="22"/>
        </w:rPr>
        <w:t>Těšetice u Olomouce,</w:t>
      </w:r>
    </w:p>
    <w:p w:rsidR="000E328C" w:rsidRPr="00A110CA" w:rsidRDefault="000E328C" w:rsidP="00E945B7">
      <w:pPr>
        <w:pStyle w:val="BodyText3"/>
        <w:rPr>
          <w:b/>
          <w:sz w:val="22"/>
          <w:szCs w:val="22"/>
        </w:rPr>
      </w:pPr>
      <w:r>
        <w:rPr>
          <w:b/>
          <w:sz w:val="22"/>
          <w:szCs w:val="22"/>
        </w:rPr>
        <w:t xml:space="preserve"> </w:t>
      </w:r>
    </w:p>
    <w:p w:rsidR="000E328C" w:rsidRPr="002069EB" w:rsidRDefault="000E328C" w:rsidP="00E945B7">
      <w:pPr>
        <w:spacing w:before="120"/>
        <w:jc w:val="both"/>
        <w:rPr>
          <w:sz w:val="22"/>
          <w:szCs w:val="22"/>
        </w:rPr>
      </w:pPr>
      <w:r w:rsidRPr="002069EB">
        <w:rPr>
          <w:sz w:val="22"/>
          <w:szCs w:val="22"/>
        </w:rPr>
        <w:t xml:space="preserve">jak je zakresleno v grafické příloze, tj. v situačním výkresu na podkladu katastrální mapy, která je součástí spisové dokumentace.  </w:t>
      </w:r>
    </w:p>
    <w:p w:rsidR="000E328C" w:rsidRPr="001C1BCD" w:rsidRDefault="000E328C" w:rsidP="00E945B7">
      <w:pPr>
        <w:pStyle w:val="BodyText3"/>
      </w:pPr>
      <w:r>
        <w:t xml:space="preserve"> </w:t>
      </w:r>
      <w:r w:rsidRPr="001C1BCD">
        <w:t xml:space="preserve"> </w:t>
      </w:r>
    </w:p>
    <w:p w:rsidR="000E328C" w:rsidRPr="00681E97" w:rsidRDefault="000E328C" w:rsidP="00E945B7">
      <w:pPr>
        <w:autoSpaceDE w:val="0"/>
        <w:autoSpaceDN w:val="0"/>
        <w:spacing w:before="120" w:after="60"/>
        <w:rPr>
          <w:b/>
          <w:bCs/>
          <w:sz w:val="22"/>
          <w:szCs w:val="22"/>
        </w:rPr>
      </w:pPr>
      <w:r w:rsidRPr="00681E97">
        <w:rPr>
          <w:b/>
          <w:bCs/>
          <w:sz w:val="22"/>
          <w:szCs w:val="22"/>
        </w:rPr>
        <w:t>Pro umístění a projektovou  přípravu stavby  se stanoví tyto podmínky :</w:t>
      </w:r>
    </w:p>
    <w:p w:rsidR="000E328C" w:rsidRDefault="000E328C" w:rsidP="00E945B7">
      <w:pPr>
        <w:numPr>
          <w:ilvl w:val="0"/>
          <w:numId w:val="2"/>
        </w:numPr>
        <w:tabs>
          <w:tab w:val="left" w:pos="1260"/>
        </w:tabs>
        <w:spacing w:before="120"/>
        <w:jc w:val="both"/>
        <w:rPr>
          <w:b/>
          <w:sz w:val="22"/>
          <w:szCs w:val="22"/>
        </w:rPr>
      </w:pPr>
      <w:r w:rsidRPr="00300250">
        <w:rPr>
          <w:b/>
          <w:sz w:val="22"/>
          <w:szCs w:val="22"/>
        </w:rPr>
        <w:t xml:space="preserve">Stavba bude umístěna tak, jak je zakresleno v grafické příloze, tj. v situačním výkresu na podkladu katastrální mapy, která je součástí spisové dokumentace a bude dle ust. §  </w:t>
      </w:r>
      <w:r>
        <w:rPr>
          <w:b/>
          <w:sz w:val="22"/>
          <w:szCs w:val="22"/>
        </w:rPr>
        <w:t>95</w:t>
      </w:r>
      <w:r w:rsidRPr="00300250">
        <w:rPr>
          <w:b/>
          <w:sz w:val="22"/>
          <w:szCs w:val="22"/>
        </w:rPr>
        <w:t xml:space="preserve"> odst. </w:t>
      </w:r>
      <w:r>
        <w:rPr>
          <w:b/>
          <w:sz w:val="22"/>
          <w:szCs w:val="22"/>
        </w:rPr>
        <w:t>5</w:t>
      </w:r>
      <w:r w:rsidRPr="00300250">
        <w:rPr>
          <w:b/>
          <w:sz w:val="22"/>
          <w:szCs w:val="22"/>
        </w:rPr>
        <w:t xml:space="preserve">  stavebního zákona po nabytí právní moci ověřená zaslána  žadateli a Obecnímu úřadu  </w:t>
      </w:r>
      <w:r>
        <w:rPr>
          <w:b/>
          <w:sz w:val="22"/>
          <w:szCs w:val="22"/>
        </w:rPr>
        <w:t xml:space="preserve">     Těšetice</w:t>
      </w:r>
      <w:r w:rsidRPr="00300250">
        <w:rPr>
          <w:b/>
          <w:sz w:val="22"/>
          <w:szCs w:val="22"/>
        </w:rPr>
        <w:t>.</w:t>
      </w:r>
    </w:p>
    <w:p w:rsidR="000E328C" w:rsidRDefault="000E328C" w:rsidP="00E945B7">
      <w:pPr>
        <w:numPr>
          <w:ilvl w:val="0"/>
          <w:numId w:val="2"/>
        </w:numPr>
        <w:tabs>
          <w:tab w:val="left" w:pos="1260"/>
        </w:tabs>
        <w:spacing w:before="120"/>
        <w:jc w:val="both"/>
        <w:rPr>
          <w:b/>
          <w:sz w:val="22"/>
          <w:szCs w:val="22"/>
        </w:rPr>
      </w:pPr>
      <w:r w:rsidRPr="00F265D2">
        <w:rPr>
          <w:b/>
          <w:sz w:val="22"/>
          <w:szCs w:val="22"/>
        </w:rPr>
        <w:t xml:space="preserve">Objekt  kopané studny  bude osazen   ve vzdálenosti  </w:t>
      </w:r>
      <w:r>
        <w:rPr>
          <w:b/>
          <w:sz w:val="22"/>
          <w:szCs w:val="22"/>
        </w:rPr>
        <w:t>14</w:t>
      </w:r>
      <w:r w:rsidRPr="00601155">
        <w:rPr>
          <w:b/>
          <w:sz w:val="22"/>
          <w:szCs w:val="22"/>
        </w:rPr>
        <w:t xml:space="preserve"> m  (osa studny) od hranice s parc.č.  </w:t>
      </w:r>
      <w:r>
        <w:rPr>
          <w:b/>
          <w:sz w:val="22"/>
          <w:szCs w:val="22"/>
        </w:rPr>
        <w:t xml:space="preserve"> 252/16</w:t>
      </w:r>
      <w:r w:rsidRPr="00601155">
        <w:rPr>
          <w:b/>
          <w:sz w:val="22"/>
          <w:szCs w:val="22"/>
        </w:rPr>
        <w:t xml:space="preserve">, ve vzdálenosti </w:t>
      </w:r>
      <w:r>
        <w:rPr>
          <w:b/>
          <w:sz w:val="22"/>
          <w:szCs w:val="22"/>
        </w:rPr>
        <w:t xml:space="preserve"> 6,0</w:t>
      </w:r>
      <w:r w:rsidRPr="00601155">
        <w:rPr>
          <w:b/>
          <w:sz w:val="22"/>
          <w:szCs w:val="22"/>
        </w:rPr>
        <w:t xml:space="preserve"> m (osa studny) od hranice s  parc.č. </w:t>
      </w:r>
      <w:r>
        <w:rPr>
          <w:b/>
          <w:sz w:val="22"/>
          <w:szCs w:val="22"/>
        </w:rPr>
        <w:t xml:space="preserve"> 408/2</w:t>
      </w:r>
      <w:r w:rsidRPr="00601155">
        <w:rPr>
          <w:b/>
          <w:sz w:val="22"/>
          <w:szCs w:val="22"/>
        </w:rPr>
        <w:t xml:space="preserve">  vše v k.ú. </w:t>
      </w:r>
      <w:r>
        <w:rPr>
          <w:b/>
          <w:sz w:val="22"/>
          <w:szCs w:val="22"/>
        </w:rPr>
        <w:t xml:space="preserve"> Těšetice u Olomouce</w:t>
      </w:r>
      <w:r w:rsidRPr="00601155">
        <w:rPr>
          <w:b/>
          <w:sz w:val="22"/>
          <w:szCs w:val="22"/>
        </w:rPr>
        <w:t xml:space="preserve">.  </w:t>
      </w:r>
    </w:p>
    <w:p w:rsidR="000E328C" w:rsidRDefault="000E328C" w:rsidP="00E945B7">
      <w:pPr>
        <w:tabs>
          <w:tab w:val="left" w:pos="1260"/>
        </w:tabs>
        <w:spacing w:before="120"/>
        <w:ind w:left="360"/>
        <w:jc w:val="both"/>
        <w:rPr>
          <w:b/>
          <w:sz w:val="22"/>
          <w:szCs w:val="22"/>
        </w:rPr>
      </w:pPr>
    </w:p>
    <w:p w:rsidR="000E328C" w:rsidRDefault="000E328C" w:rsidP="00E945B7">
      <w:pPr>
        <w:numPr>
          <w:ilvl w:val="0"/>
          <w:numId w:val="2"/>
        </w:numPr>
        <w:tabs>
          <w:tab w:val="left" w:pos="1260"/>
        </w:tabs>
        <w:jc w:val="both"/>
        <w:rPr>
          <w:b/>
          <w:sz w:val="22"/>
          <w:szCs w:val="22"/>
        </w:rPr>
      </w:pPr>
      <w:r w:rsidRPr="0075472A">
        <w:rPr>
          <w:b/>
          <w:sz w:val="22"/>
          <w:szCs w:val="22"/>
        </w:rPr>
        <w:t>Podmínky hygienické, požární apod. jsou dány příslušnými normami  a právními předpisy.</w:t>
      </w:r>
    </w:p>
    <w:p w:rsidR="000E328C" w:rsidRDefault="000E328C" w:rsidP="00E945B7">
      <w:pPr>
        <w:tabs>
          <w:tab w:val="left" w:pos="1260"/>
        </w:tabs>
        <w:ind w:left="360"/>
        <w:jc w:val="both"/>
        <w:rPr>
          <w:b/>
          <w:sz w:val="22"/>
          <w:szCs w:val="22"/>
        </w:rPr>
      </w:pPr>
    </w:p>
    <w:p w:rsidR="000E328C" w:rsidRDefault="000E328C" w:rsidP="00E945B7">
      <w:pPr>
        <w:numPr>
          <w:ilvl w:val="0"/>
          <w:numId w:val="2"/>
        </w:numPr>
        <w:jc w:val="both"/>
        <w:rPr>
          <w:b/>
          <w:sz w:val="22"/>
          <w:szCs w:val="22"/>
        </w:rPr>
      </w:pPr>
      <w:r>
        <w:rPr>
          <w:b/>
          <w:sz w:val="22"/>
          <w:szCs w:val="22"/>
        </w:rPr>
        <w:t>Z vyjádření ČEZ Distribuce, a.s. ze dne 2.4.2012 vedeném pod  zn.  0100045484 vyplývá, že  při realizaci stavby dojde k dotčení energetického zařízení – podzemní a nadzemní sítě -,    zařízení v majetku ČEZ Distribuce, a.s. které je chráněno ochranným pásmem podle § 46 zák.č. 458/2000 Sb. a technickými normami, zejména PNE 33 3301 a ČSN EN 50423-1.  V případě podzemních energetických zařízení je povinností stavebníka před započetím zemních prací pět dní předem požádat o vytýčení vlastníka vedení. V případě, že uvažovaná akce nebo činnost zasáhne do ochranného pásma nadzemních vedení nebo do ochranného pásma podzemních zařízení, je nutné požádat vlastníka vedení o souhlas s činností v ochranném pásmu.</w:t>
      </w:r>
    </w:p>
    <w:p w:rsidR="000E328C" w:rsidRPr="00A80BAF" w:rsidRDefault="000E328C" w:rsidP="00E945B7">
      <w:pPr>
        <w:tabs>
          <w:tab w:val="left" w:pos="1260"/>
        </w:tabs>
        <w:jc w:val="both"/>
        <w:rPr>
          <w:b/>
          <w:sz w:val="22"/>
          <w:szCs w:val="22"/>
        </w:rPr>
      </w:pPr>
    </w:p>
    <w:p w:rsidR="000E328C" w:rsidRPr="0075472A" w:rsidRDefault="000E328C" w:rsidP="00E945B7">
      <w:pPr>
        <w:numPr>
          <w:ilvl w:val="0"/>
          <w:numId w:val="2"/>
        </w:numPr>
        <w:tabs>
          <w:tab w:val="left" w:pos="1260"/>
        </w:tabs>
        <w:jc w:val="both"/>
        <w:rPr>
          <w:b/>
          <w:sz w:val="22"/>
          <w:szCs w:val="22"/>
        </w:rPr>
      </w:pPr>
      <w:r w:rsidRPr="0075472A">
        <w:rPr>
          <w:b/>
          <w:sz w:val="22"/>
          <w:szCs w:val="22"/>
        </w:rPr>
        <w:t xml:space="preserve">Při přípravě stavby budou </w:t>
      </w:r>
      <w:r>
        <w:rPr>
          <w:b/>
          <w:sz w:val="22"/>
          <w:szCs w:val="22"/>
        </w:rPr>
        <w:t xml:space="preserve"> splněny   podmínky vyjádření Magistrátu města Olomouce, odboru životního prostředí ze dne  30.1.2012 pod č.j. SMOL/016723/2012/OZP/VH/Koz :</w:t>
      </w:r>
    </w:p>
    <w:p w:rsidR="000E328C" w:rsidRDefault="000E328C" w:rsidP="00E945B7">
      <w:pPr>
        <w:numPr>
          <w:ilvl w:val="1"/>
          <w:numId w:val="2"/>
        </w:numPr>
        <w:tabs>
          <w:tab w:val="left" w:pos="1260"/>
        </w:tabs>
        <w:ind w:left="720"/>
        <w:jc w:val="both"/>
        <w:rPr>
          <w:b/>
          <w:sz w:val="22"/>
          <w:szCs w:val="22"/>
        </w:rPr>
      </w:pPr>
      <w:r>
        <w:rPr>
          <w:b/>
          <w:sz w:val="22"/>
          <w:szCs w:val="22"/>
        </w:rPr>
        <w:t xml:space="preserve">Stavba studny </w:t>
      </w:r>
      <w:r w:rsidRPr="009E05D4">
        <w:rPr>
          <w:b/>
          <w:sz w:val="22"/>
          <w:szCs w:val="22"/>
        </w:rPr>
        <w:t xml:space="preserve"> je charakterizovaná dle § 55 odst. 1 písm. </w:t>
      </w:r>
      <w:r>
        <w:rPr>
          <w:b/>
          <w:sz w:val="22"/>
          <w:szCs w:val="22"/>
        </w:rPr>
        <w:t>j</w:t>
      </w:r>
      <w:r w:rsidRPr="009E05D4">
        <w:rPr>
          <w:b/>
          <w:sz w:val="22"/>
          <w:szCs w:val="22"/>
        </w:rPr>
        <w:t xml:space="preserve">) </w:t>
      </w:r>
      <w:r>
        <w:rPr>
          <w:b/>
          <w:sz w:val="22"/>
          <w:szCs w:val="22"/>
        </w:rPr>
        <w:t xml:space="preserve"> zákona o vodách</w:t>
      </w:r>
      <w:r w:rsidRPr="009E05D4">
        <w:rPr>
          <w:b/>
          <w:sz w:val="22"/>
          <w:szCs w:val="22"/>
        </w:rPr>
        <w:t xml:space="preserve"> jako vodní dílo, </w:t>
      </w:r>
      <w:r>
        <w:rPr>
          <w:b/>
          <w:sz w:val="22"/>
          <w:szCs w:val="22"/>
        </w:rPr>
        <w:t xml:space="preserve"> o povolení k jeho stavbě  a povolení k odběru podzemních vod </w:t>
      </w:r>
      <w:r w:rsidRPr="009E05D4">
        <w:rPr>
          <w:b/>
          <w:sz w:val="22"/>
          <w:szCs w:val="22"/>
        </w:rPr>
        <w:t xml:space="preserve">je nutné požádat </w:t>
      </w:r>
      <w:r>
        <w:rPr>
          <w:b/>
          <w:sz w:val="22"/>
          <w:szCs w:val="22"/>
        </w:rPr>
        <w:t xml:space="preserve">zdejší </w:t>
      </w:r>
      <w:r w:rsidRPr="009E05D4">
        <w:rPr>
          <w:b/>
          <w:sz w:val="22"/>
          <w:szCs w:val="22"/>
        </w:rPr>
        <w:t>vodoprávní úřad</w:t>
      </w:r>
      <w:r>
        <w:rPr>
          <w:b/>
          <w:sz w:val="22"/>
          <w:szCs w:val="22"/>
        </w:rPr>
        <w:t xml:space="preserve">  (MmOl OŽP, odd. vodního  hospodářství).</w:t>
      </w:r>
    </w:p>
    <w:p w:rsidR="000E328C" w:rsidRDefault="000E328C" w:rsidP="00E945B7">
      <w:pPr>
        <w:numPr>
          <w:ilvl w:val="1"/>
          <w:numId w:val="2"/>
        </w:numPr>
        <w:tabs>
          <w:tab w:val="left" w:pos="1260"/>
        </w:tabs>
        <w:ind w:left="720"/>
        <w:jc w:val="both"/>
        <w:rPr>
          <w:b/>
          <w:sz w:val="22"/>
          <w:szCs w:val="22"/>
        </w:rPr>
      </w:pPr>
      <w:r w:rsidRPr="001902FC">
        <w:rPr>
          <w:b/>
          <w:sz w:val="22"/>
          <w:szCs w:val="22"/>
        </w:rPr>
        <w:t>K žádosti o zahájení vodoprávního řízení  pro stavební povolení a povolení k odběru podzemních vod předloží investor 3 výtisky kompletní PD zpracované oprávněnou osobou pro projektování vodohospodářských staveb, s veškerými doklady.</w:t>
      </w:r>
    </w:p>
    <w:p w:rsidR="000E328C" w:rsidRDefault="000E328C" w:rsidP="00E945B7">
      <w:pPr>
        <w:numPr>
          <w:ilvl w:val="1"/>
          <w:numId w:val="2"/>
        </w:numPr>
        <w:tabs>
          <w:tab w:val="left" w:pos="1260"/>
        </w:tabs>
        <w:ind w:left="720"/>
        <w:jc w:val="both"/>
        <w:rPr>
          <w:b/>
          <w:sz w:val="22"/>
          <w:szCs w:val="22"/>
        </w:rPr>
      </w:pPr>
      <w:r>
        <w:rPr>
          <w:b/>
          <w:sz w:val="22"/>
          <w:szCs w:val="22"/>
        </w:rPr>
        <w:t>Při umístění studny nutno respektovat vzdálenosti od zdrojů možného znečištění dle  ustanovení §24a vyhlášky č. 269/2009 Sb., kterou se mění vyhláška č. 501/2006 Sb. O obecných požadavcích na využívání území a studny situovat v takové poloze, aby nebyla ovlivněna vydatnost sousedních studní.</w:t>
      </w:r>
    </w:p>
    <w:p w:rsidR="000E328C" w:rsidRPr="002E3DF1" w:rsidRDefault="000E328C" w:rsidP="00E945B7">
      <w:pPr>
        <w:numPr>
          <w:ilvl w:val="1"/>
          <w:numId w:val="2"/>
        </w:numPr>
        <w:tabs>
          <w:tab w:val="left" w:pos="1260"/>
        </w:tabs>
        <w:ind w:left="720"/>
        <w:jc w:val="both"/>
      </w:pPr>
      <w:r w:rsidRPr="001902FC">
        <w:rPr>
          <w:b/>
          <w:sz w:val="22"/>
          <w:szCs w:val="22"/>
        </w:rPr>
        <w:t>S</w:t>
      </w:r>
      <w:r>
        <w:rPr>
          <w:b/>
          <w:sz w:val="22"/>
          <w:szCs w:val="22"/>
        </w:rPr>
        <w:t> </w:t>
      </w:r>
      <w:r w:rsidRPr="001902FC">
        <w:rPr>
          <w:b/>
          <w:sz w:val="22"/>
          <w:szCs w:val="22"/>
        </w:rPr>
        <w:t>odpad</w:t>
      </w:r>
      <w:r>
        <w:rPr>
          <w:b/>
          <w:sz w:val="22"/>
          <w:szCs w:val="22"/>
        </w:rPr>
        <w:t>em, který vznikne v rámci stavby</w:t>
      </w:r>
      <w:r w:rsidRPr="001902FC">
        <w:rPr>
          <w:b/>
          <w:sz w:val="22"/>
          <w:szCs w:val="22"/>
        </w:rPr>
        <w:t xml:space="preserve"> bude nakládáno v souladu se zákonem č. 185/2001 Sb., o odpadech a o změně  některých  dalších  zákonů, ve znění pozdějších předpisů</w:t>
      </w:r>
      <w:r>
        <w:rPr>
          <w:b/>
          <w:sz w:val="22"/>
          <w:szCs w:val="22"/>
        </w:rPr>
        <w:t xml:space="preserve"> a s prováděcími předpisy vydanými na jeho základě</w:t>
      </w:r>
      <w:r w:rsidRPr="001902FC">
        <w:rPr>
          <w:b/>
          <w:sz w:val="22"/>
          <w:szCs w:val="22"/>
        </w:rPr>
        <w:t>.</w:t>
      </w:r>
    </w:p>
    <w:p w:rsidR="000E328C" w:rsidRPr="000C1445" w:rsidRDefault="000E328C" w:rsidP="00E945B7">
      <w:pPr>
        <w:numPr>
          <w:ilvl w:val="1"/>
          <w:numId w:val="2"/>
        </w:numPr>
        <w:tabs>
          <w:tab w:val="left" w:pos="1260"/>
        </w:tabs>
        <w:ind w:left="720"/>
        <w:jc w:val="both"/>
      </w:pPr>
      <w:r>
        <w:rPr>
          <w:b/>
          <w:sz w:val="22"/>
          <w:szCs w:val="22"/>
        </w:rPr>
        <w:t>K zásypům a úpravám terénu po ukončení stavby může být použita pouze neznečištěná výkopová zemina.</w:t>
      </w:r>
    </w:p>
    <w:p w:rsidR="000E328C" w:rsidRPr="002E3DF1" w:rsidRDefault="000E328C" w:rsidP="00E945B7">
      <w:pPr>
        <w:numPr>
          <w:ilvl w:val="1"/>
          <w:numId w:val="2"/>
        </w:numPr>
        <w:tabs>
          <w:tab w:val="left" w:pos="1260"/>
        </w:tabs>
        <w:ind w:left="720"/>
        <w:jc w:val="both"/>
      </w:pPr>
      <w:r>
        <w:rPr>
          <w:b/>
          <w:sz w:val="22"/>
          <w:szCs w:val="22"/>
        </w:rPr>
        <w:t>Doklady o využití nebo odstranění odpadů, které vznikly během stavby, budou součástí dokumentace předkládané se žádostí o užívání stavby.</w:t>
      </w:r>
    </w:p>
    <w:p w:rsidR="000E328C" w:rsidRDefault="000E328C" w:rsidP="00E945B7">
      <w:pPr>
        <w:numPr>
          <w:ilvl w:val="0"/>
          <w:numId w:val="2"/>
        </w:numPr>
        <w:tabs>
          <w:tab w:val="left" w:pos="1260"/>
        </w:tabs>
        <w:jc w:val="both"/>
        <w:rPr>
          <w:b/>
          <w:sz w:val="22"/>
          <w:szCs w:val="22"/>
        </w:rPr>
      </w:pPr>
      <w:r>
        <w:rPr>
          <w:b/>
          <w:sz w:val="22"/>
          <w:szCs w:val="22"/>
        </w:rPr>
        <w:t>Projektová dokumentace spočívající v hloubení (kopání) studní  ve smyslu ustanovení § 20 vyhlášky č. 55/1966 Sb., ve znění pozdějších předpisů, může být vypracována je odborně způsobilou osobou, která je držitelem platného osvědčení vydaného orgánem státní báňské správy (vyhl.č. 298/2005 Sb. – báňský projektant.</w:t>
      </w:r>
    </w:p>
    <w:p w:rsidR="000E328C" w:rsidRDefault="000E328C" w:rsidP="00E945B7">
      <w:pPr>
        <w:tabs>
          <w:tab w:val="left" w:pos="1260"/>
        </w:tabs>
        <w:jc w:val="both"/>
        <w:rPr>
          <w:b/>
          <w:sz w:val="22"/>
          <w:szCs w:val="22"/>
        </w:rPr>
      </w:pPr>
    </w:p>
    <w:p w:rsidR="000E328C" w:rsidRPr="008C52C5" w:rsidRDefault="000E328C" w:rsidP="00E945B7">
      <w:pPr>
        <w:pStyle w:val="ListParagraph"/>
        <w:numPr>
          <w:ilvl w:val="0"/>
          <w:numId w:val="2"/>
        </w:numPr>
        <w:tabs>
          <w:tab w:val="left" w:pos="1260"/>
        </w:tabs>
        <w:jc w:val="both"/>
        <w:rPr>
          <w:b/>
          <w:sz w:val="22"/>
          <w:szCs w:val="22"/>
        </w:rPr>
      </w:pPr>
      <w:r>
        <w:rPr>
          <w:b/>
          <w:sz w:val="22"/>
          <w:szCs w:val="22"/>
        </w:rPr>
        <w:t>Práce spočívající v hloubení studní (hlubších než 3 m)  podle ustanovení § 3 písm. i) zákona č. 61/1988 Sb., o hornické činnosti jsou činností prováděnou hornickým způsobem. Vykonávat tuto činnost může pouze organizace, která vlastní pro tuto činnost platné oprávnění vydané orgánem státní báňské správy.</w:t>
      </w:r>
    </w:p>
    <w:p w:rsidR="000E328C" w:rsidRDefault="000E328C" w:rsidP="00E945B7">
      <w:pPr>
        <w:tabs>
          <w:tab w:val="left" w:pos="1260"/>
        </w:tabs>
        <w:jc w:val="both"/>
        <w:rPr>
          <w:b/>
          <w:sz w:val="22"/>
          <w:szCs w:val="22"/>
        </w:rPr>
      </w:pPr>
    </w:p>
    <w:p w:rsidR="000E328C" w:rsidRDefault="000E328C" w:rsidP="00E945B7">
      <w:pPr>
        <w:numPr>
          <w:ilvl w:val="0"/>
          <w:numId w:val="2"/>
        </w:numPr>
        <w:tabs>
          <w:tab w:val="left" w:pos="1260"/>
        </w:tabs>
        <w:jc w:val="both"/>
        <w:rPr>
          <w:b/>
          <w:sz w:val="22"/>
          <w:szCs w:val="22"/>
        </w:rPr>
      </w:pPr>
      <w:r w:rsidRPr="0075472A">
        <w:rPr>
          <w:b/>
          <w:sz w:val="22"/>
          <w:szCs w:val="22"/>
        </w:rPr>
        <w:t xml:space="preserve">Při přípravě  stavby bude stavebník postupovat v souladu  s  ustanovením § 22 odst.2 zákona č.20/1987 Sb., o státní památkové péči, ve znění pozdějších  předpisů, podle kterého je stavebník   povinen oznámit v desetidenním předstihu Archeologickému ústavu Akademie věd ČR v Brně, Královopolská  147, Brno nebo oprávněné organizaci – např. </w:t>
      </w:r>
      <w:r>
        <w:rPr>
          <w:b/>
          <w:sz w:val="22"/>
          <w:szCs w:val="22"/>
        </w:rPr>
        <w:t xml:space="preserve">   Archeologické centrum Olomouc,  U Hradiska 42/6, Olomouc,</w:t>
      </w:r>
      <w:r w:rsidRPr="0075472A">
        <w:rPr>
          <w:b/>
          <w:sz w:val="22"/>
          <w:szCs w:val="22"/>
        </w:rPr>
        <w:t xml:space="preserve"> - svůj záměr realizovat stavbu a umožnit jim   provést na dotčeném území záchranný archeologický průzkum. Současně ust. § 22 odst. 1 zákona o památkové péči ukládá vlastníkovi (správci, uživateli) nemovitosti a organizaci realizující archeologický výzkum povinnost uzavřít dohodu, a to ještě před zahájením archeologického výzkumu. Pokud k dohodě nedojde rozhodne tak příslušný krajský úřad.</w:t>
      </w:r>
    </w:p>
    <w:p w:rsidR="000E328C" w:rsidRDefault="000E328C" w:rsidP="00E945B7">
      <w:pPr>
        <w:jc w:val="both"/>
        <w:rPr>
          <w:sz w:val="22"/>
          <w:szCs w:val="22"/>
        </w:rPr>
      </w:pPr>
    </w:p>
    <w:p w:rsidR="000E328C" w:rsidRDefault="000E328C" w:rsidP="00E945B7">
      <w:pPr>
        <w:jc w:val="both"/>
        <w:rPr>
          <w:sz w:val="22"/>
          <w:szCs w:val="22"/>
        </w:rPr>
      </w:pPr>
    </w:p>
    <w:p w:rsidR="000E328C" w:rsidRPr="00681E97" w:rsidRDefault="000E328C" w:rsidP="00E945B7">
      <w:pPr>
        <w:jc w:val="both"/>
        <w:rPr>
          <w:b/>
          <w:sz w:val="22"/>
          <w:szCs w:val="22"/>
        </w:rPr>
      </w:pPr>
      <w:r w:rsidRPr="002811C6">
        <w:rPr>
          <w:sz w:val="22"/>
          <w:szCs w:val="22"/>
        </w:rPr>
        <w:t>Okruh účastníků územního řízení je stanoven dle § 85 stavebního zákona</w:t>
      </w:r>
      <w:r>
        <w:rPr>
          <w:sz w:val="22"/>
          <w:szCs w:val="22"/>
        </w:rPr>
        <w:t>.</w:t>
      </w:r>
    </w:p>
    <w:p w:rsidR="000E328C" w:rsidRDefault="000E328C" w:rsidP="00E945B7">
      <w:pPr>
        <w:ind w:left="180" w:hanging="180"/>
        <w:jc w:val="both"/>
        <w:rPr>
          <w:sz w:val="22"/>
          <w:szCs w:val="22"/>
        </w:rPr>
      </w:pPr>
      <w:r>
        <w:rPr>
          <w:sz w:val="22"/>
          <w:szCs w:val="22"/>
        </w:rPr>
        <w:t>Účastníci územního řízení dle § 85 odst. 1 stavebního zákona:</w:t>
      </w:r>
    </w:p>
    <w:p w:rsidR="000E328C" w:rsidRPr="00D27234" w:rsidRDefault="000E328C" w:rsidP="00E945B7">
      <w:pPr>
        <w:ind w:left="360" w:hanging="360"/>
        <w:jc w:val="both"/>
        <w:rPr>
          <w:sz w:val="22"/>
          <w:szCs w:val="22"/>
        </w:rPr>
      </w:pPr>
      <w:r>
        <w:rPr>
          <w:sz w:val="22"/>
          <w:szCs w:val="22"/>
        </w:rPr>
        <w:t>a)  žadatelé   Josef a Ludmila Koupilovi, Vilémov 150</w:t>
      </w:r>
      <w:r w:rsidRPr="00D27234">
        <w:rPr>
          <w:sz w:val="22"/>
          <w:szCs w:val="22"/>
        </w:rPr>
        <w:t xml:space="preserve">    </w:t>
      </w:r>
    </w:p>
    <w:p w:rsidR="000E328C" w:rsidRDefault="000E328C" w:rsidP="00E945B7">
      <w:pPr>
        <w:ind w:left="180" w:hanging="180"/>
        <w:jc w:val="both"/>
        <w:rPr>
          <w:sz w:val="22"/>
          <w:szCs w:val="22"/>
        </w:rPr>
      </w:pPr>
      <w:r>
        <w:rPr>
          <w:sz w:val="22"/>
          <w:szCs w:val="22"/>
        </w:rPr>
        <w:t>b)  obec, na jejímž území má být záměr uskutečněn, Obec  Těšetice,  Těšetice 75</w:t>
      </w:r>
    </w:p>
    <w:p w:rsidR="000E328C" w:rsidRDefault="000E328C" w:rsidP="00E945B7">
      <w:pPr>
        <w:ind w:left="180" w:hanging="180"/>
        <w:jc w:val="both"/>
        <w:rPr>
          <w:sz w:val="22"/>
          <w:szCs w:val="22"/>
        </w:rPr>
      </w:pPr>
    </w:p>
    <w:p w:rsidR="000E328C" w:rsidRDefault="000E328C" w:rsidP="00E945B7">
      <w:pPr>
        <w:ind w:left="180" w:hanging="180"/>
        <w:jc w:val="both"/>
        <w:rPr>
          <w:sz w:val="22"/>
          <w:szCs w:val="22"/>
        </w:rPr>
      </w:pPr>
      <w:r>
        <w:rPr>
          <w:sz w:val="22"/>
          <w:szCs w:val="22"/>
        </w:rPr>
        <w:t xml:space="preserve">Účastníci územního řízení dle § 85 odst. 2 stavebního zákona : </w:t>
      </w:r>
    </w:p>
    <w:p w:rsidR="000E328C" w:rsidRDefault="000E328C" w:rsidP="00E945B7">
      <w:pPr>
        <w:jc w:val="both"/>
        <w:rPr>
          <w:sz w:val="22"/>
          <w:szCs w:val="22"/>
        </w:rPr>
      </w:pPr>
      <w:r>
        <w:rPr>
          <w:sz w:val="22"/>
          <w:szCs w:val="22"/>
        </w:rPr>
        <w:t>b</w:t>
      </w:r>
      <w:r w:rsidRPr="00315824">
        <w:rPr>
          <w:sz w:val="22"/>
          <w:szCs w:val="22"/>
        </w:rPr>
        <w:t>)  osoby, jejichž vlastnické právo nebo jiné věcné právo k sousedním stavbám či pozemkům může být územním rozhodnutím přímo dotčeno:</w:t>
      </w:r>
    </w:p>
    <w:p w:rsidR="000E328C" w:rsidRPr="00C40578" w:rsidRDefault="000E328C" w:rsidP="00E945B7">
      <w:pPr>
        <w:pStyle w:val="BodyText3"/>
        <w:numPr>
          <w:ilvl w:val="0"/>
          <w:numId w:val="1"/>
        </w:numPr>
        <w:ind w:left="284" w:hanging="284"/>
        <w:rPr>
          <w:sz w:val="22"/>
          <w:szCs w:val="22"/>
        </w:rPr>
      </w:pPr>
      <w:r>
        <w:rPr>
          <w:sz w:val="22"/>
          <w:szCs w:val="22"/>
        </w:rPr>
        <w:t>Obec  Těšetice;  Alena Trojanová, Červenka;  ČEZ Distribuce, a.s. Děčín, Teplická 874/8;</w:t>
      </w:r>
    </w:p>
    <w:p w:rsidR="000E328C" w:rsidRDefault="000E328C" w:rsidP="00E945B7">
      <w:pPr>
        <w:pStyle w:val="BodyText3"/>
        <w:ind w:left="284"/>
        <w:rPr>
          <w:sz w:val="22"/>
          <w:szCs w:val="22"/>
        </w:rPr>
      </w:pPr>
    </w:p>
    <w:p w:rsidR="000E328C" w:rsidRDefault="000E328C" w:rsidP="00E945B7">
      <w:pPr>
        <w:pStyle w:val="BodyText3"/>
        <w:rPr>
          <w:sz w:val="22"/>
          <w:szCs w:val="22"/>
        </w:rPr>
      </w:pPr>
    </w:p>
    <w:p w:rsidR="000E328C" w:rsidRPr="005B718F" w:rsidRDefault="000E328C" w:rsidP="00E945B7">
      <w:pPr>
        <w:pStyle w:val="BodyText3"/>
        <w:rPr>
          <w:sz w:val="22"/>
          <w:szCs w:val="22"/>
        </w:rPr>
      </w:pPr>
      <w:r w:rsidRPr="005B718F">
        <w:rPr>
          <w:sz w:val="22"/>
          <w:szCs w:val="22"/>
        </w:rPr>
        <w:t xml:space="preserve">Návrh výroku rozhodnutí je doručován v souladu s § 95 odst. 2) stavebního zákona </w:t>
      </w:r>
      <w:r>
        <w:rPr>
          <w:sz w:val="22"/>
          <w:szCs w:val="22"/>
        </w:rPr>
        <w:t xml:space="preserve"> žadateli </w:t>
      </w:r>
      <w:r w:rsidRPr="005B718F">
        <w:rPr>
          <w:sz w:val="22"/>
          <w:szCs w:val="22"/>
        </w:rPr>
        <w:t xml:space="preserve">a dotčeným orgánům jednotlivě a účastníkům řízení </w:t>
      </w:r>
      <w:r>
        <w:rPr>
          <w:sz w:val="22"/>
          <w:szCs w:val="22"/>
        </w:rPr>
        <w:t>(dle § 85 odst. 2 stavebního zákona)</w:t>
      </w:r>
      <w:r w:rsidRPr="005B718F">
        <w:rPr>
          <w:sz w:val="22"/>
          <w:szCs w:val="22"/>
        </w:rPr>
        <w:t xml:space="preserve"> veřejnou vyhláškou.</w:t>
      </w:r>
    </w:p>
    <w:p w:rsidR="000E328C" w:rsidRDefault="000E328C" w:rsidP="00E945B7">
      <w:pPr>
        <w:jc w:val="both"/>
        <w:rPr>
          <w:b/>
          <w:i/>
          <w:sz w:val="22"/>
          <w:szCs w:val="22"/>
          <w:u w:val="single"/>
        </w:rPr>
      </w:pPr>
    </w:p>
    <w:p w:rsidR="000E328C" w:rsidRDefault="000E328C" w:rsidP="00E945B7">
      <w:pPr>
        <w:jc w:val="both"/>
        <w:rPr>
          <w:b/>
          <w:i/>
          <w:sz w:val="22"/>
          <w:szCs w:val="22"/>
          <w:u w:val="single"/>
        </w:rPr>
      </w:pPr>
    </w:p>
    <w:p w:rsidR="000E328C" w:rsidRPr="00573A6C" w:rsidRDefault="000E328C" w:rsidP="00E945B7">
      <w:pPr>
        <w:jc w:val="both"/>
        <w:rPr>
          <w:b/>
          <w:i/>
          <w:sz w:val="22"/>
          <w:szCs w:val="22"/>
          <w:u w:val="single"/>
        </w:rPr>
      </w:pPr>
      <w:r w:rsidRPr="00573A6C">
        <w:rPr>
          <w:b/>
          <w:i/>
          <w:sz w:val="22"/>
          <w:szCs w:val="22"/>
          <w:u w:val="single"/>
        </w:rPr>
        <w:t>Poučení :</w:t>
      </w:r>
    </w:p>
    <w:p w:rsidR="000E328C" w:rsidRPr="002069EB" w:rsidRDefault="000E328C" w:rsidP="00E945B7">
      <w:pPr>
        <w:spacing w:before="120"/>
        <w:ind w:firstLine="720"/>
        <w:jc w:val="both"/>
        <w:rPr>
          <w:b/>
          <w:sz w:val="22"/>
          <w:szCs w:val="22"/>
          <w:u w:val="single"/>
        </w:rPr>
      </w:pPr>
      <w:r w:rsidRPr="002069EB">
        <w:rPr>
          <w:b/>
          <w:sz w:val="22"/>
          <w:szCs w:val="22"/>
          <w:u w:val="single"/>
        </w:rPr>
        <w:t xml:space="preserve"> Žadatel dle ust. § 95 odst. 3) stavebního zákona  zajistí, aby byl návrh výroku včetně grafické přílohy bezodkladně vyvěšen na vhodném veřejně přístupném místě u stavby nebo pozemku, na nichž se má záměr uskutečnit a to po celou dobu 15 dní zveřejnění výroku. Součástí informace je grafické vyjádření záměru, z něhož lze usuzovat o architektonické nebo urbanistické podobě záměru a o jeho vlivu na okolí.</w:t>
      </w:r>
    </w:p>
    <w:p w:rsidR="000E328C" w:rsidRPr="001C1BCD" w:rsidRDefault="000E328C" w:rsidP="00E945B7">
      <w:pPr>
        <w:spacing w:line="240" w:lineRule="atLeast"/>
        <w:rPr>
          <w:b/>
          <w:bCs/>
        </w:rPr>
      </w:pPr>
    </w:p>
    <w:p w:rsidR="000E328C" w:rsidRPr="001C1BCD" w:rsidRDefault="000E328C" w:rsidP="00E945B7">
      <w:pPr>
        <w:spacing w:line="240" w:lineRule="atLeast"/>
        <w:rPr>
          <w:b/>
          <w:bCs/>
        </w:rPr>
      </w:pPr>
    </w:p>
    <w:p w:rsidR="000E328C" w:rsidRPr="004E29AF" w:rsidRDefault="000E328C" w:rsidP="00E945B7">
      <w:pPr>
        <w:jc w:val="both"/>
        <w:rPr>
          <w:i/>
          <w:sz w:val="24"/>
          <w:szCs w:val="24"/>
          <w:u w:val="single"/>
        </w:rPr>
      </w:pPr>
    </w:p>
    <w:p w:rsidR="000E328C" w:rsidRPr="004E29AF" w:rsidRDefault="000E328C" w:rsidP="00E945B7">
      <w:pPr>
        <w:spacing w:line="240" w:lineRule="atLeast"/>
        <w:ind w:firstLine="720"/>
        <w:jc w:val="both"/>
        <w:rPr>
          <w:i/>
          <w:sz w:val="22"/>
          <w:szCs w:val="22"/>
          <w:u w:val="single"/>
        </w:rPr>
      </w:pPr>
      <w:r w:rsidRPr="004E29AF">
        <w:rPr>
          <w:i/>
          <w:sz w:val="22"/>
          <w:szCs w:val="22"/>
          <w:u w:val="single"/>
        </w:rPr>
        <w:t xml:space="preserve"> Výhrady dotčených orgánů nebo námitky účastníků proti zjednodušenému územnímu řízení lze podle  ustanovení § 95 odst. 4) stavebního zákona podat písemně ve lhůtě 15 dnů ode dne zveřejnění návrhu výroku rozhodnutí, připomínky veřejnosti lze podat ve stejné lhůtě pouze za předpokladu, že by mohla být ohrožena ochrana veřejného zájmu podle zvláštních předpisů a to ke stavebnímu úřadu Obecního úřadu Lutín.</w:t>
      </w:r>
    </w:p>
    <w:p w:rsidR="000E328C" w:rsidRPr="004E29AF" w:rsidRDefault="000E328C" w:rsidP="00E945B7">
      <w:pPr>
        <w:spacing w:line="240" w:lineRule="atLeast"/>
        <w:ind w:firstLine="720"/>
        <w:jc w:val="both"/>
        <w:rPr>
          <w:i/>
          <w:sz w:val="22"/>
          <w:szCs w:val="22"/>
          <w:u w:val="single"/>
        </w:rPr>
      </w:pPr>
      <w:r w:rsidRPr="004E29AF">
        <w:rPr>
          <w:i/>
          <w:sz w:val="22"/>
          <w:szCs w:val="22"/>
          <w:u w:val="single"/>
        </w:rPr>
        <w:t>Do podkladů řízení lze nahlédnout u stavebního úřadu (využijte především  úředních hodin pondělí, středa od 8,00 – 17,00 hod).</w:t>
      </w:r>
    </w:p>
    <w:p w:rsidR="000E328C" w:rsidRPr="004E29AF" w:rsidRDefault="000E328C" w:rsidP="00E945B7">
      <w:pPr>
        <w:spacing w:line="240" w:lineRule="atLeast"/>
        <w:ind w:firstLine="720"/>
        <w:jc w:val="both"/>
        <w:rPr>
          <w:i/>
          <w:sz w:val="22"/>
          <w:szCs w:val="22"/>
          <w:u w:val="single"/>
        </w:rPr>
      </w:pPr>
      <w:r w:rsidRPr="004E29AF">
        <w:rPr>
          <w:i/>
          <w:sz w:val="22"/>
          <w:szCs w:val="22"/>
          <w:u w:val="single"/>
        </w:rPr>
        <w:t>Pokud nebudou ve lhůtě uplatněny výhrady, námitky nebo připomínky, rozhodnutí se pokládá za vydané a nabývá právní moci.</w:t>
      </w:r>
    </w:p>
    <w:p w:rsidR="000E328C" w:rsidRPr="004E29AF" w:rsidRDefault="000E328C" w:rsidP="00E945B7">
      <w:pPr>
        <w:spacing w:line="240" w:lineRule="atLeast"/>
        <w:jc w:val="both"/>
      </w:pPr>
      <w:r w:rsidRPr="004E29AF">
        <w:t xml:space="preserve"> </w:t>
      </w:r>
    </w:p>
    <w:p w:rsidR="000E328C" w:rsidRPr="001C1BCD" w:rsidRDefault="000E328C" w:rsidP="00E945B7">
      <w:pPr>
        <w:spacing w:line="240" w:lineRule="atLeast"/>
        <w:jc w:val="both"/>
      </w:pPr>
      <w:r w:rsidRPr="001C1BCD">
        <w:t xml:space="preserve"> </w:t>
      </w:r>
    </w:p>
    <w:p w:rsidR="000E328C" w:rsidRPr="004E29AF" w:rsidRDefault="000E328C" w:rsidP="00E945B7">
      <w:pPr>
        <w:ind w:left="2268"/>
        <w:jc w:val="center"/>
        <w:rPr>
          <w:sz w:val="22"/>
          <w:szCs w:val="22"/>
        </w:rPr>
      </w:pPr>
      <w:r w:rsidRPr="004E29AF">
        <w:rPr>
          <w:sz w:val="22"/>
          <w:szCs w:val="22"/>
        </w:rPr>
        <w:t>Ing. Drahoslava M a č á k o v á</w:t>
      </w:r>
    </w:p>
    <w:p w:rsidR="000E328C" w:rsidRPr="004E29AF" w:rsidRDefault="000E328C" w:rsidP="00E945B7">
      <w:pPr>
        <w:ind w:left="2268"/>
        <w:jc w:val="center"/>
        <w:rPr>
          <w:sz w:val="22"/>
          <w:szCs w:val="22"/>
        </w:rPr>
      </w:pPr>
      <w:r w:rsidRPr="004E29AF">
        <w:rPr>
          <w:sz w:val="22"/>
          <w:szCs w:val="22"/>
        </w:rPr>
        <w:t>vedoucí stavebního úřadu</w:t>
      </w:r>
    </w:p>
    <w:p w:rsidR="000E328C" w:rsidRDefault="000E328C" w:rsidP="00E945B7">
      <w:pPr>
        <w:rPr>
          <w:b/>
          <w:bCs/>
        </w:rPr>
      </w:pPr>
    </w:p>
    <w:p w:rsidR="000E328C" w:rsidRDefault="000E328C" w:rsidP="00E945B7">
      <w:pPr>
        <w:rPr>
          <w:b/>
          <w:bCs/>
        </w:rPr>
      </w:pPr>
    </w:p>
    <w:p w:rsidR="000E328C" w:rsidRDefault="000E328C" w:rsidP="00E945B7">
      <w:pPr>
        <w:rPr>
          <w:b/>
          <w:bCs/>
        </w:rPr>
      </w:pPr>
    </w:p>
    <w:p w:rsidR="000E328C" w:rsidRDefault="000E328C" w:rsidP="00E945B7">
      <w:pPr>
        <w:rPr>
          <w:b/>
          <w:bCs/>
        </w:rPr>
      </w:pPr>
    </w:p>
    <w:p w:rsidR="000E328C" w:rsidRDefault="000E328C" w:rsidP="00E945B7">
      <w:pPr>
        <w:rPr>
          <w:b/>
          <w:bCs/>
        </w:rPr>
      </w:pPr>
    </w:p>
    <w:p w:rsidR="000E328C" w:rsidRDefault="000E328C" w:rsidP="00E945B7">
      <w:pPr>
        <w:rPr>
          <w:b/>
          <w:bCs/>
        </w:rPr>
      </w:pPr>
    </w:p>
    <w:p w:rsidR="000E328C" w:rsidRDefault="000E328C" w:rsidP="00E945B7">
      <w:pPr>
        <w:rPr>
          <w:b/>
          <w:bCs/>
        </w:rPr>
      </w:pPr>
    </w:p>
    <w:p w:rsidR="000E328C" w:rsidRDefault="000E328C" w:rsidP="00E945B7">
      <w:pPr>
        <w:rPr>
          <w:b/>
          <w:bCs/>
        </w:rPr>
      </w:pPr>
    </w:p>
    <w:p w:rsidR="000E328C" w:rsidRPr="00A238D8" w:rsidRDefault="000E328C" w:rsidP="00E945B7">
      <w:pPr>
        <w:rPr>
          <w:sz w:val="22"/>
          <w:szCs w:val="22"/>
        </w:rPr>
      </w:pPr>
      <w:r w:rsidRPr="00A238D8">
        <w:rPr>
          <w:b/>
          <w:bCs/>
          <w:sz w:val="22"/>
          <w:szCs w:val="22"/>
        </w:rPr>
        <w:t xml:space="preserve">Doručí se : </w:t>
      </w:r>
    </w:p>
    <w:p w:rsidR="000E328C" w:rsidRPr="005B718F" w:rsidRDefault="000E328C" w:rsidP="00E945B7">
      <w:pPr>
        <w:jc w:val="both"/>
        <w:rPr>
          <w:sz w:val="22"/>
          <w:szCs w:val="22"/>
        </w:rPr>
      </w:pPr>
      <w:r w:rsidRPr="005B718F">
        <w:rPr>
          <w:sz w:val="22"/>
          <w:szCs w:val="22"/>
        </w:rPr>
        <w:t>účastníkům řízení doporučeně na doručenku :</w:t>
      </w:r>
    </w:p>
    <w:p w:rsidR="000E328C" w:rsidRPr="005B718F" w:rsidRDefault="000E328C" w:rsidP="00E945B7">
      <w:pPr>
        <w:jc w:val="both"/>
        <w:rPr>
          <w:i/>
          <w:sz w:val="22"/>
          <w:szCs w:val="22"/>
        </w:rPr>
      </w:pPr>
      <w:r w:rsidRPr="005B718F">
        <w:rPr>
          <w:i/>
          <w:sz w:val="22"/>
          <w:szCs w:val="22"/>
        </w:rPr>
        <w:t xml:space="preserve"> žadatel</w:t>
      </w:r>
      <w:r>
        <w:rPr>
          <w:i/>
          <w:sz w:val="22"/>
          <w:szCs w:val="22"/>
        </w:rPr>
        <w:t>é</w:t>
      </w:r>
      <w:r w:rsidRPr="005B718F">
        <w:rPr>
          <w:i/>
          <w:sz w:val="22"/>
          <w:szCs w:val="22"/>
        </w:rPr>
        <w:t xml:space="preserve"> –</w:t>
      </w:r>
    </w:p>
    <w:p w:rsidR="000E328C" w:rsidRPr="00D61781" w:rsidRDefault="000E328C" w:rsidP="00E945B7">
      <w:pPr>
        <w:ind w:left="360" w:hanging="360"/>
        <w:jc w:val="both"/>
        <w:rPr>
          <w:b/>
          <w:sz w:val="22"/>
          <w:szCs w:val="22"/>
        </w:rPr>
      </w:pPr>
      <w:r w:rsidRPr="00D61781">
        <w:rPr>
          <w:b/>
          <w:sz w:val="22"/>
          <w:szCs w:val="22"/>
        </w:rPr>
        <w:t>Josef  Koupil, Vilémov 150</w:t>
      </w:r>
    </w:p>
    <w:p w:rsidR="000E328C" w:rsidRPr="00D61781" w:rsidRDefault="000E328C" w:rsidP="00E945B7">
      <w:pPr>
        <w:ind w:left="360" w:hanging="360"/>
        <w:jc w:val="both"/>
        <w:rPr>
          <w:b/>
          <w:sz w:val="22"/>
          <w:szCs w:val="22"/>
        </w:rPr>
      </w:pPr>
      <w:r w:rsidRPr="00D61781">
        <w:rPr>
          <w:b/>
          <w:sz w:val="22"/>
          <w:szCs w:val="22"/>
        </w:rPr>
        <w:t xml:space="preserve">Ludmila Koupilová, Vilémov 150     </w:t>
      </w:r>
    </w:p>
    <w:p w:rsidR="000E328C" w:rsidRDefault="000E328C" w:rsidP="00E945B7">
      <w:pPr>
        <w:jc w:val="both"/>
        <w:rPr>
          <w:b/>
          <w:sz w:val="22"/>
          <w:szCs w:val="22"/>
        </w:rPr>
      </w:pPr>
      <w:r>
        <w:rPr>
          <w:b/>
          <w:sz w:val="22"/>
          <w:szCs w:val="22"/>
        </w:rPr>
        <w:t xml:space="preserve"> </w:t>
      </w:r>
    </w:p>
    <w:p w:rsidR="000E328C" w:rsidRDefault="000E328C" w:rsidP="00E945B7">
      <w:pPr>
        <w:jc w:val="both"/>
        <w:rPr>
          <w:sz w:val="22"/>
          <w:szCs w:val="22"/>
        </w:rPr>
      </w:pPr>
    </w:p>
    <w:p w:rsidR="000E328C" w:rsidRPr="00122C8F" w:rsidRDefault="000E328C" w:rsidP="00E945B7">
      <w:pPr>
        <w:pStyle w:val="BodyText3"/>
        <w:rPr>
          <w:sz w:val="22"/>
          <w:szCs w:val="22"/>
        </w:rPr>
      </w:pPr>
      <w:r w:rsidRPr="00122C8F">
        <w:rPr>
          <w:sz w:val="22"/>
          <w:szCs w:val="22"/>
        </w:rPr>
        <w:t>dotčené orgány   na doručenku:</w:t>
      </w:r>
    </w:p>
    <w:p w:rsidR="000E328C" w:rsidRPr="005B718F" w:rsidRDefault="000E328C" w:rsidP="00E945B7">
      <w:pPr>
        <w:jc w:val="both"/>
        <w:rPr>
          <w:b/>
          <w:sz w:val="22"/>
          <w:szCs w:val="22"/>
        </w:rPr>
      </w:pPr>
      <w:r w:rsidRPr="005B718F">
        <w:rPr>
          <w:b/>
          <w:sz w:val="22"/>
          <w:szCs w:val="22"/>
        </w:rPr>
        <w:t xml:space="preserve">Magistrát města Olomouce, odb. ŽP </w:t>
      </w:r>
      <w:r>
        <w:rPr>
          <w:b/>
          <w:sz w:val="22"/>
          <w:szCs w:val="22"/>
        </w:rPr>
        <w:t>(DS)</w:t>
      </w:r>
    </w:p>
    <w:p w:rsidR="000E328C" w:rsidRPr="005B718F" w:rsidRDefault="000E328C" w:rsidP="00E945B7">
      <w:pPr>
        <w:spacing w:line="240" w:lineRule="atLeast"/>
        <w:rPr>
          <w:b/>
          <w:sz w:val="22"/>
          <w:szCs w:val="22"/>
        </w:rPr>
      </w:pPr>
      <w:r w:rsidRPr="005B718F">
        <w:rPr>
          <w:b/>
          <w:sz w:val="22"/>
          <w:szCs w:val="22"/>
        </w:rPr>
        <w:t xml:space="preserve">Magistrát města Olomouce, odbor koncepce a rozvoje </w:t>
      </w:r>
      <w:r>
        <w:rPr>
          <w:b/>
          <w:sz w:val="22"/>
          <w:szCs w:val="22"/>
        </w:rPr>
        <w:t>(DS)</w:t>
      </w:r>
    </w:p>
    <w:p w:rsidR="000E328C" w:rsidRPr="005B718F" w:rsidRDefault="000E328C" w:rsidP="00E945B7">
      <w:pPr>
        <w:pStyle w:val="BodyText"/>
        <w:rPr>
          <w:b/>
          <w:sz w:val="22"/>
          <w:szCs w:val="22"/>
        </w:rPr>
      </w:pPr>
      <w:r>
        <w:rPr>
          <w:b/>
          <w:sz w:val="22"/>
          <w:szCs w:val="22"/>
        </w:rPr>
        <w:t xml:space="preserve">  </w:t>
      </w:r>
    </w:p>
    <w:p w:rsidR="000E328C" w:rsidRPr="005B718F" w:rsidRDefault="000E328C" w:rsidP="00E945B7">
      <w:pPr>
        <w:pStyle w:val="Heading2"/>
        <w:rPr>
          <w:sz w:val="22"/>
          <w:szCs w:val="22"/>
        </w:rPr>
      </w:pPr>
      <w:r w:rsidRPr="005B718F">
        <w:rPr>
          <w:sz w:val="22"/>
          <w:szCs w:val="22"/>
        </w:rPr>
        <w:t xml:space="preserve"> </w:t>
      </w:r>
    </w:p>
    <w:p w:rsidR="000E328C" w:rsidRPr="005B718F" w:rsidRDefault="000E328C" w:rsidP="00E945B7">
      <w:pPr>
        <w:jc w:val="both"/>
        <w:rPr>
          <w:b/>
          <w:sz w:val="22"/>
          <w:szCs w:val="22"/>
        </w:rPr>
      </w:pPr>
      <w:r w:rsidRPr="005B718F">
        <w:rPr>
          <w:b/>
          <w:sz w:val="22"/>
          <w:szCs w:val="22"/>
        </w:rPr>
        <w:t xml:space="preserve">Účastníci řízení </w:t>
      </w:r>
      <w:r>
        <w:rPr>
          <w:b/>
          <w:sz w:val="22"/>
          <w:szCs w:val="22"/>
        </w:rPr>
        <w:t xml:space="preserve">(vedlejší) </w:t>
      </w:r>
      <w:r w:rsidRPr="005B718F">
        <w:rPr>
          <w:b/>
          <w:sz w:val="22"/>
          <w:szCs w:val="22"/>
        </w:rPr>
        <w:t xml:space="preserve">veřejnou vyhláškou - vyvěšeno na úřední desce Obecního úřadu Lutín + příloha a úřední desce Obecního úřadu </w:t>
      </w:r>
      <w:r>
        <w:rPr>
          <w:b/>
          <w:sz w:val="22"/>
          <w:szCs w:val="22"/>
        </w:rPr>
        <w:t xml:space="preserve"> Těšetice</w:t>
      </w:r>
      <w:r w:rsidRPr="005B718F">
        <w:rPr>
          <w:b/>
          <w:sz w:val="22"/>
          <w:szCs w:val="22"/>
        </w:rPr>
        <w:t xml:space="preserve"> + příloha</w:t>
      </w:r>
    </w:p>
    <w:p w:rsidR="000E328C" w:rsidRPr="005B718F" w:rsidRDefault="000E328C" w:rsidP="00E945B7">
      <w:pPr>
        <w:jc w:val="both"/>
        <w:rPr>
          <w:b/>
          <w:sz w:val="22"/>
          <w:szCs w:val="22"/>
        </w:rPr>
      </w:pPr>
      <w:r w:rsidRPr="005B718F">
        <w:rPr>
          <w:b/>
          <w:sz w:val="22"/>
          <w:szCs w:val="22"/>
        </w:rPr>
        <w:t xml:space="preserve"> </w:t>
      </w:r>
    </w:p>
    <w:p w:rsidR="000E328C" w:rsidRPr="005B718F" w:rsidRDefault="000E328C" w:rsidP="00E945B7">
      <w:pPr>
        <w:pStyle w:val="BodyText"/>
        <w:jc w:val="both"/>
        <w:rPr>
          <w:sz w:val="22"/>
          <w:szCs w:val="22"/>
        </w:rPr>
      </w:pPr>
      <w:r w:rsidRPr="005B718F">
        <w:rPr>
          <w:sz w:val="22"/>
          <w:szCs w:val="22"/>
        </w:rPr>
        <w:t xml:space="preserve">Příloha: situační výkres na podkladu katastrální mapy  </w:t>
      </w:r>
    </w:p>
    <w:p w:rsidR="000E328C" w:rsidRPr="005B718F" w:rsidRDefault="000E328C" w:rsidP="00E945B7">
      <w:pPr>
        <w:pStyle w:val="BodyText"/>
        <w:jc w:val="both"/>
        <w:rPr>
          <w:sz w:val="22"/>
          <w:szCs w:val="22"/>
        </w:rPr>
      </w:pPr>
    </w:p>
    <w:p w:rsidR="000E328C" w:rsidRPr="00ED0BD8" w:rsidRDefault="000E328C" w:rsidP="00E945B7">
      <w:pPr>
        <w:pStyle w:val="BodyText"/>
        <w:tabs>
          <w:tab w:val="left" w:pos="1260"/>
        </w:tabs>
        <w:jc w:val="both"/>
        <w:rPr>
          <w:b/>
          <w:sz w:val="22"/>
          <w:szCs w:val="22"/>
        </w:rPr>
      </w:pPr>
      <w:r w:rsidRPr="005B718F">
        <w:rPr>
          <w:b/>
          <w:sz w:val="22"/>
          <w:szCs w:val="22"/>
        </w:rPr>
        <w:t xml:space="preserve">Návrh výroku rozhodnutí je zveřejňován v souladu s ustanovením § 95 odst. 2) stavebního zákona veřejnou vyhláškou, a proto musí být vyvěšen po dobu 15 dnů na úřední desce   Obecního úřadu Lutín a úřední desce Obecního úřadu </w:t>
      </w:r>
      <w:r>
        <w:rPr>
          <w:b/>
          <w:sz w:val="22"/>
          <w:szCs w:val="22"/>
        </w:rPr>
        <w:t xml:space="preserve"> Těšetice</w:t>
      </w:r>
      <w:r w:rsidRPr="005B718F">
        <w:rPr>
          <w:b/>
          <w:sz w:val="22"/>
          <w:szCs w:val="22"/>
        </w:rPr>
        <w:t xml:space="preserve">.  </w:t>
      </w:r>
      <w:r w:rsidRPr="00ED0BD8">
        <w:rPr>
          <w:b/>
          <w:sz w:val="22"/>
          <w:szCs w:val="22"/>
        </w:rPr>
        <w:t>Zveřejňuje-li se písemnost vyvěšením na více úředních deskách, považuje se za den vyvěšení den, ve kterém byla písemnost vyvěšena nejpozději (§ 20 stavebního zákona).</w:t>
      </w:r>
    </w:p>
    <w:p w:rsidR="000E328C" w:rsidRPr="005B718F" w:rsidRDefault="000E328C" w:rsidP="00E945B7">
      <w:pPr>
        <w:pStyle w:val="BodyText"/>
        <w:jc w:val="both"/>
        <w:rPr>
          <w:b/>
          <w:sz w:val="22"/>
          <w:szCs w:val="22"/>
        </w:rPr>
      </w:pPr>
    </w:p>
    <w:p w:rsidR="000E328C" w:rsidRPr="005B718F" w:rsidRDefault="000E328C" w:rsidP="00E945B7">
      <w:pPr>
        <w:jc w:val="both"/>
        <w:rPr>
          <w:sz w:val="22"/>
          <w:szCs w:val="22"/>
        </w:rPr>
      </w:pPr>
    </w:p>
    <w:p w:rsidR="000E328C" w:rsidRPr="005B718F" w:rsidRDefault="000E328C" w:rsidP="00E945B7">
      <w:pPr>
        <w:jc w:val="both"/>
        <w:rPr>
          <w:sz w:val="22"/>
          <w:szCs w:val="22"/>
        </w:rPr>
      </w:pPr>
      <w:r w:rsidRPr="005B718F">
        <w:rPr>
          <w:sz w:val="22"/>
          <w:szCs w:val="22"/>
        </w:rPr>
        <w:t>Vyvěšeno dne : ………………………                        Sejmuto dne : ………………………….</w:t>
      </w:r>
    </w:p>
    <w:p w:rsidR="000E328C" w:rsidRPr="005B718F" w:rsidRDefault="000E328C" w:rsidP="00E945B7">
      <w:pPr>
        <w:jc w:val="both"/>
        <w:rPr>
          <w:sz w:val="22"/>
          <w:szCs w:val="22"/>
        </w:rPr>
      </w:pPr>
    </w:p>
    <w:p w:rsidR="000E328C" w:rsidRPr="005B718F" w:rsidRDefault="000E328C" w:rsidP="00E945B7">
      <w:pPr>
        <w:jc w:val="both"/>
        <w:rPr>
          <w:sz w:val="22"/>
          <w:szCs w:val="22"/>
        </w:rPr>
      </w:pPr>
    </w:p>
    <w:p w:rsidR="000E328C" w:rsidRPr="005B718F" w:rsidRDefault="000E328C" w:rsidP="00E945B7">
      <w:pPr>
        <w:jc w:val="both"/>
        <w:rPr>
          <w:sz w:val="22"/>
          <w:szCs w:val="22"/>
        </w:rPr>
      </w:pPr>
    </w:p>
    <w:p w:rsidR="000E328C" w:rsidRPr="005B718F" w:rsidRDefault="000E328C" w:rsidP="00E945B7">
      <w:pPr>
        <w:jc w:val="both"/>
        <w:rPr>
          <w:sz w:val="22"/>
          <w:szCs w:val="22"/>
        </w:rPr>
      </w:pPr>
    </w:p>
    <w:p w:rsidR="000E328C" w:rsidRPr="001C1BCD" w:rsidRDefault="000E328C" w:rsidP="00E945B7">
      <w:pPr>
        <w:jc w:val="both"/>
      </w:pPr>
    </w:p>
    <w:p w:rsidR="000E328C" w:rsidRPr="001C1BCD" w:rsidRDefault="000E328C" w:rsidP="00E945B7">
      <w:pPr>
        <w:jc w:val="both"/>
      </w:pPr>
    </w:p>
    <w:p w:rsidR="000E328C" w:rsidRPr="001C1BCD" w:rsidRDefault="000E328C" w:rsidP="00E945B7">
      <w:pPr>
        <w:jc w:val="both"/>
      </w:pPr>
    </w:p>
    <w:p w:rsidR="000E328C" w:rsidRPr="001C1BCD" w:rsidRDefault="000E328C" w:rsidP="00E945B7">
      <w:pPr>
        <w:jc w:val="both"/>
      </w:pPr>
    </w:p>
    <w:p w:rsidR="000E328C" w:rsidRDefault="000E328C" w:rsidP="00E945B7">
      <w:pPr>
        <w:jc w:val="both"/>
      </w:pPr>
    </w:p>
    <w:p w:rsidR="000E328C" w:rsidRDefault="000E328C" w:rsidP="00E945B7">
      <w:pPr>
        <w:jc w:val="both"/>
      </w:pPr>
    </w:p>
    <w:p w:rsidR="000E328C" w:rsidRPr="001C1BCD" w:rsidRDefault="000E328C" w:rsidP="00E945B7">
      <w:pPr>
        <w:jc w:val="both"/>
      </w:pPr>
      <w:r w:rsidRPr="001C1BCD">
        <w:t>Žádáme obecní úřad</w:t>
      </w:r>
      <w:r>
        <w:t>y</w:t>
      </w:r>
      <w:r w:rsidRPr="001C1BCD">
        <w:t>, aby potvrzenou kopii o vyvěšení a sejmutí této veřejné vyhlášky zaslal</w:t>
      </w:r>
      <w:r>
        <w:t xml:space="preserve">i </w:t>
      </w:r>
      <w:r w:rsidRPr="001C1BCD">
        <w:t>zdejšímu stavebnímu úřadu.</w:t>
      </w:r>
    </w:p>
    <w:p w:rsidR="000E328C" w:rsidRPr="001C1BCD" w:rsidRDefault="000E328C" w:rsidP="00E945B7">
      <w:pPr>
        <w:jc w:val="both"/>
      </w:pPr>
    </w:p>
    <w:p w:rsidR="000E328C" w:rsidRPr="00736448" w:rsidRDefault="000E328C" w:rsidP="00E945B7">
      <w:pPr>
        <w:jc w:val="both"/>
        <w:rPr>
          <w:b/>
          <w:i/>
        </w:rPr>
      </w:pPr>
      <w:r w:rsidRPr="00736448">
        <w:rPr>
          <w:b/>
          <w:i/>
        </w:rPr>
        <w:t xml:space="preserve">Pro   žadatele:  v příloze zasíláme poštovní poukázku na uhrazení správního poplatku ve výši </w:t>
      </w:r>
      <w:r>
        <w:rPr>
          <w:b/>
          <w:i/>
        </w:rPr>
        <w:t>1 0</w:t>
      </w:r>
      <w:r w:rsidRPr="00736448">
        <w:rPr>
          <w:b/>
          <w:i/>
        </w:rPr>
        <w:t>00,-Kč (po uhrazení poplatku zašlete kopii stavebnímu úřadu).</w:t>
      </w:r>
    </w:p>
    <w:sectPr w:rsidR="000E328C" w:rsidRPr="00736448" w:rsidSect="00C869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C035C"/>
    <w:multiLevelType w:val="hybridMultilevel"/>
    <w:tmpl w:val="2C7E3EE4"/>
    <w:lvl w:ilvl="0" w:tplc="24645EDA">
      <w:numFmt w:val="bullet"/>
      <w:lvlText w:val="-"/>
      <w:lvlJc w:val="left"/>
      <w:pPr>
        <w:ind w:left="1068" w:hanging="360"/>
      </w:pPr>
      <w:rPr>
        <w:rFonts w:hint="default"/>
        <w:b/>
        <w:i w:val="0"/>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67B140AE"/>
    <w:multiLevelType w:val="hybridMultilevel"/>
    <w:tmpl w:val="0DC45E7C"/>
    <w:lvl w:ilvl="0" w:tplc="8472B06E">
      <w:start w:val="1"/>
      <w:numFmt w:val="decimal"/>
      <w:lvlText w:val="%1."/>
      <w:lvlJc w:val="left"/>
      <w:pPr>
        <w:tabs>
          <w:tab w:val="num" w:pos="360"/>
        </w:tabs>
        <w:ind w:left="360" w:hanging="360"/>
      </w:pPr>
      <w:rPr>
        <w:rFonts w:cs="Times New Roman" w:hint="default"/>
        <w:b/>
        <w:i w:val="0"/>
      </w:rPr>
    </w:lvl>
    <w:lvl w:ilvl="1" w:tplc="77185168">
      <w:numFmt w:val="bullet"/>
      <w:lvlText w:val="-"/>
      <w:lvlJc w:val="left"/>
      <w:pPr>
        <w:tabs>
          <w:tab w:val="num" w:pos="1440"/>
        </w:tabs>
        <w:ind w:left="1440" w:hanging="360"/>
      </w:pPr>
      <w:rPr>
        <w:rFonts w:ascii="Times New Roman" w:eastAsia="Times New Roman" w:hAnsi="Times New Roman" w:hint="default"/>
      </w:rPr>
    </w:lvl>
    <w:lvl w:ilvl="2" w:tplc="24645EDA">
      <w:numFmt w:val="bullet"/>
      <w:lvlText w:val="-"/>
      <w:lvlJc w:val="left"/>
      <w:pPr>
        <w:tabs>
          <w:tab w:val="num" w:pos="2340"/>
        </w:tabs>
        <w:ind w:left="2340" w:hanging="360"/>
      </w:pPr>
      <w:rPr>
        <w:rFonts w:hint="default"/>
        <w:b/>
        <w:i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A0A"/>
    <w:rsid w:val="00050FA2"/>
    <w:rsid w:val="00063047"/>
    <w:rsid w:val="000C1445"/>
    <w:rsid w:val="000E328C"/>
    <w:rsid w:val="00122C8F"/>
    <w:rsid w:val="001902FC"/>
    <w:rsid w:val="001C1BCD"/>
    <w:rsid w:val="002069EB"/>
    <w:rsid w:val="0026193F"/>
    <w:rsid w:val="002811C6"/>
    <w:rsid w:val="002E3DF1"/>
    <w:rsid w:val="00300250"/>
    <w:rsid w:val="00315824"/>
    <w:rsid w:val="0038374C"/>
    <w:rsid w:val="00424BAC"/>
    <w:rsid w:val="00434193"/>
    <w:rsid w:val="004532C5"/>
    <w:rsid w:val="004629E9"/>
    <w:rsid w:val="00466A0A"/>
    <w:rsid w:val="004E29AF"/>
    <w:rsid w:val="00573A6C"/>
    <w:rsid w:val="00595EFD"/>
    <w:rsid w:val="005B718F"/>
    <w:rsid w:val="005D072A"/>
    <w:rsid w:val="005D1937"/>
    <w:rsid w:val="00601155"/>
    <w:rsid w:val="00611644"/>
    <w:rsid w:val="00626795"/>
    <w:rsid w:val="00681E97"/>
    <w:rsid w:val="00736448"/>
    <w:rsid w:val="0075472A"/>
    <w:rsid w:val="008758B1"/>
    <w:rsid w:val="008C52C5"/>
    <w:rsid w:val="008C7EA1"/>
    <w:rsid w:val="009E05D4"/>
    <w:rsid w:val="00A110CA"/>
    <w:rsid w:val="00A1159F"/>
    <w:rsid w:val="00A238D8"/>
    <w:rsid w:val="00A80BAF"/>
    <w:rsid w:val="00AB7240"/>
    <w:rsid w:val="00B05A1F"/>
    <w:rsid w:val="00B53FBB"/>
    <w:rsid w:val="00C40578"/>
    <w:rsid w:val="00C86921"/>
    <w:rsid w:val="00D27234"/>
    <w:rsid w:val="00D4498C"/>
    <w:rsid w:val="00D61781"/>
    <w:rsid w:val="00DA09D1"/>
    <w:rsid w:val="00E41F4C"/>
    <w:rsid w:val="00E945B7"/>
    <w:rsid w:val="00ED0BD8"/>
    <w:rsid w:val="00EF07E0"/>
    <w:rsid w:val="00F265D2"/>
    <w:rsid w:val="00F7782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B7"/>
    <w:rPr>
      <w:rFonts w:ascii="Times New Roman" w:eastAsia="Times New Roman" w:hAnsi="Times New Roman"/>
      <w:sz w:val="20"/>
      <w:szCs w:val="20"/>
    </w:rPr>
  </w:style>
  <w:style w:type="paragraph" w:styleId="Heading1">
    <w:name w:val="heading 1"/>
    <w:basedOn w:val="Normal"/>
    <w:next w:val="Normal"/>
    <w:link w:val="Heading1Char"/>
    <w:uiPriority w:val="99"/>
    <w:qFormat/>
    <w:rsid w:val="00E945B7"/>
    <w:pPr>
      <w:keepNext/>
      <w:jc w:val="center"/>
      <w:outlineLvl w:val="0"/>
    </w:pPr>
    <w:rPr>
      <w:sz w:val="24"/>
    </w:rPr>
  </w:style>
  <w:style w:type="paragraph" w:styleId="Heading2">
    <w:name w:val="heading 2"/>
    <w:basedOn w:val="Normal"/>
    <w:next w:val="Normal"/>
    <w:link w:val="Heading2Char"/>
    <w:uiPriority w:val="99"/>
    <w:qFormat/>
    <w:rsid w:val="00E945B7"/>
    <w:pPr>
      <w:keepNext/>
      <w:jc w:val="both"/>
      <w:outlineLvl w:val="1"/>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5B7"/>
    <w:rPr>
      <w:rFonts w:ascii="Times New Roman" w:hAnsi="Times New Roman" w:cs="Times New Roman"/>
      <w:sz w:val="20"/>
      <w:szCs w:val="20"/>
      <w:lang w:eastAsia="cs-CZ"/>
    </w:rPr>
  </w:style>
  <w:style w:type="character" w:customStyle="1" w:styleId="Heading2Char">
    <w:name w:val="Heading 2 Char"/>
    <w:basedOn w:val="DefaultParagraphFont"/>
    <w:link w:val="Heading2"/>
    <w:uiPriority w:val="99"/>
    <w:locked/>
    <w:rsid w:val="00E945B7"/>
    <w:rPr>
      <w:rFonts w:ascii="Times New Roman" w:hAnsi="Times New Roman" w:cs="Times New Roman"/>
      <w:b/>
      <w:sz w:val="20"/>
      <w:szCs w:val="20"/>
      <w:lang w:eastAsia="cs-CZ"/>
    </w:rPr>
  </w:style>
  <w:style w:type="paragraph" w:styleId="Title">
    <w:name w:val="Title"/>
    <w:basedOn w:val="Normal"/>
    <w:link w:val="TitleChar"/>
    <w:uiPriority w:val="99"/>
    <w:qFormat/>
    <w:rsid w:val="00E945B7"/>
    <w:pPr>
      <w:jc w:val="center"/>
    </w:pPr>
    <w:rPr>
      <w:b/>
      <w:sz w:val="52"/>
    </w:rPr>
  </w:style>
  <w:style w:type="character" w:customStyle="1" w:styleId="TitleChar">
    <w:name w:val="Title Char"/>
    <w:basedOn w:val="DefaultParagraphFont"/>
    <w:link w:val="Title"/>
    <w:uiPriority w:val="99"/>
    <w:locked/>
    <w:rsid w:val="00E945B7"/>
    <w:rPr>
      <w:rFonts w:ascii="Times New Roman" w:hAnsi="Times New Roman" w:cs="Times New Roman"/>
      <w:b/>
      <w:sz w:val="20"/>
      <w:szCs w:val="20"/>
      <w:lang w:eastAsia="cs-CZ"/>
    </w:rPr>
  </w:style>
  <w:style w:type="paragraph" w:styleId="BodyText3">
    <w:name w:val="Body Text 3"/>
    <w:basedOn w:val="Normal"/>
    <w:link w:val="BodyText3Char"/>
    <w:uiPriority w:val="99"/>
    <w:rsid w:val="00E945B7"/>
    <w:pPr>
      <w:jc w:val="both"/>
    </w:pPr>
    <w:rPr>
      <w:sz w:val="24"/>
    </w:rPr>
  </w:style>
  <w:style w:type="character" w:customStyle="1" w:styleId="BodyText3Char">
    <w:name w:val="Body Text 3 Char"/>
    <w:basedOn w:val="DefaultParagraphFont"/>
    <w:link w:val="BodyText3"/>
    <w:uiPriority w:val="99"/>
    <w:locked/>
    <w:rsid w:val="00E945B7"/>
    <w:rPr>
      <w:rFonts w:ascii="Times New Roman" w:hAnsi="Times New Roman" w:cs="Times New Roman"/>
      <w:sz w:val="20"/>
      <w:szCs w:val="20"/>
      <w:lang w:eastAsia="cs-CZ"/>
    </w:rPr>
  </w:style>
  <w:style w:type="paragraph" w:styleId="BodyText">
    <w:name w:val="Body Text"/>
    <w:basedOn w:val="Normal"/>
    <w:link w:val="BodyTextChar"/>
    <w:uiPriority w:val="99"/>
    <w:rsid w:val="00E945B7"/>
    <w:pPr>
      <w:spacing w:after="120"/>
    </w:pPr>
  </w:style>
  <w:style w:type="character" w:customStyle="1" w:styleId="BodyTextChar">
    <w:name w:val="Body Text Char"/>
    <w:basedOn w:val="DefaultParagraphFont"/>
    <w:link w:val="BodyText"/>
    <w:uiPriority w:val="99"/>
    <w:locked/>
    <w:rsid w:val="00E945B7"/>
    <w:rPr>
      <w:rFonts w:ascii="Times New Roman" w:hAnsi="Times New Roman" w:cs="Times New Roman"/>
      <w:sz w:val="20"/>
      <w:szCs w:val="20"/>
      <w:lang w:eastAsia="cs-CZ"/>
    </w:rPr>
  </w:style>
  <w:style w:type="paragraph" w:styleId="ListParagraph">
    <w:name w:val="List Paragraph"/>
    <w:basedOn w:val="Normal"/>
    <w:uiPriority w:val="99"/>
    <w:qFormat/>
    <w:rsid w:val="00E945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1443</Words>
  <Characters>8515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 Lutín, okres Olomouc</dc:title>
  <dc:subject/>
  <dc:creator>Mačáková</dc:creator>
  <cp:keywords/>
  <dc:description/>
  <cp:lastModifiedBy>Uživatel</cp:lastModifiedBy>
  <cp:revision>2</cp:revision>
  <dcterms:created xsi:type="dcterms:W3CDTF">2012-05-02T12:28:00Z</dcterms:created>
  <dcterms:modified xsi:type="dcterms:W3CDTF">2012-05-02T12:28:00Z</dcterms:modified>
</cp:coreProperties>
</file>